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42D6B6" w14:textId="3FCBB6B2" w:rsidR="00CE3BA6" w:rsidRPr="00E46C93" w:rsidRDefault="00CE3BA6" w:rsidP="00CE3BA6">
      <w:pPr>
        <w:pStyle w:val="af2"/>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2017 NR Ad-hoc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sidRPr="00E46C93">
        <w:rPr>
          <w:rFonts w:eastAsiaTheme="minorEastAsia" w:cs="Arial"/>
          <w:lang w:eastAsia="ko-KR"/>
        </w:rPr>
        <w:t>R2-</w:t>
      </w:r>
      <w:r w:rsidRPr="00481A30">
        <w:rPr>
          <w:rFonts w:eastAsiaTheme="minorEastAsia" w:cs="Arial"/>
          <w:lang w:eastAsia="ko-KR"/>
        </w:rPr>
        <w:t>170046</w:t>
      </w:r>
      <w:r>
        <w:rPr>
          <w:rFonts w:eastAsiaTheme="minorEastAsia" w:cs="Arial" w:hint="eastAsia"/>
          <w:lang w:eastAsia="ko-KR"/>
        </w:rPr>
        <w:t>2</w:t>
      </w:r>
    </w:p>
    <w:p w14:paraId="0133E7ED" w14:textId="77777777" w:rsidR="00CE3BA6" w:rsidRPr="00216C0F" w:rsidRDefault="00CE3BA6" w:rsidP="00CE3BA6">
      <w:pPr>
        <w:widowControl w:val="0"/>
        <w:tabs>
          <w:tab w:val="right" w:pos="9639"/>
        </w:tabs>
        <w:rPr>
          <w:rFonts w:ascii="Arial" w:eastAsiaTheme="minorEastAsia" w:hAnsi="Arial"/>
          <w:b/>
          <w:bCs/>
          <w:sz w:val="24"/>
          <w:lang w:val="de-DE" w:eastAsia="ko-KR"/>
        </w:rPr>
      </w:pPr>
      <w:r>
        <w:rPr>
          <w:rFonts w:ascii="Arial" w:eastAsiaTheme="minorEastAsia" w:hAnsi="Arial" w:hint="eastAsia"/>
          <w:b/>
          <w:bCs/>
          <w:sz w:val="24"/>
          <w:lang w:eastAsia="ko-KR"/>
        </w:rPr>
        <w:t>Spokane</w:t>
      </w:r>
      <w:r w:rsidRPr="00216C0F">
        <w:rPr>
          <w:rFonts w:ascii="Arial" w:hAnsi="Arial"/>
          <w:b/>
          <w:bCs/>
          <w:sz w:val="24"/>
          <w:lang w:val="de-DE"/>
        </w:rPr>
        <w:t xml:space="preserve">, </w:t>
      </w:r>
      <w:r w:rsidRPr="00216C0F">
        <w:rPr>
          <w:rFonts w:ascii="Arial" w:eastAsiaTheme="minorEastAsia" w:hAnsi="Arial" w:hint="eastAsia"/>
          <w:b/>
          <w:bCs/>
          <w:sz w:val="24"/>
          <w:lang w:val="de-DE" w:eastAsia="ko-KR"/>
        </w:rPr>
        <w:t>USA</w:t>
      </w:r>
      <w:r w:rsidRPr="00216C0F">
        <w:rPr>
          <w:rFonts w:ascii="Arial" w:hAnsi="Arial"/>
          <w:b/>
          <w:bCs/>
          <w:sz w:val="24"/>
          <w:lang w:val="de-DE"/>
        </w:rPr>
        <w:t xml:space="preserve"> </w:t>
      </w:r>
      <w:r w:rsidRPr="00216C0F">
        <w:rPr>
          <w:rFonts w:ascii="Arial" w:eastAsiaTheme="minorEastAsia" w:hAnsi="Arial" w:hint="eastAsia"/>
          <w:b/>
          <w:bCs/>
          <w:sz w:val="24"/>
          <w:lang w:val="de-DE" w:eastAsia="ko-KR"/>
        </w:rPr>
        <w:t>1</w:t>
      </w:r>
      <w:r>
        <w:rPr>
          <w:rFonts w:ascii="Arial" w:eastAsiaTheme="minorEastAsia" w:hAnsi="Arial" w:hint="eastAsia"/>
          <w:b/>
          <w:bCs/>
          <w:sz w:val="24"/>
          <w:lang w:val="de-DE" w:eastAsia="ko-KR"/>
        </w:rPr>
        <w:t>7</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w:t>
      </w:r>
      <w:r w:rsidRPr="00216C0F">
        <w:rPr>
          <w:rFonts w:ascii="Arial" w:eastAsiaTheme="minorEastAsia" w:hAnsi="Arial" w:hint="eastAsia"/>
          <w:b/>
          <w:bCs/>
          <w:sz w:val="24"/>
          <w:lang w:val="de-DE" w:eastAsia="ko-KR"/>
        </w:rPr>
        <w:t>1</w:t>
      </w:r>
      <w:r>
        <w:rPr>
          <w:rFonts w:ascii="Arial" w:eastAsiaTheme="minorEastAsia" w:hAnsi="Arial" w:hint="eastAsia"/>
          <w:b/>
          <w:bCs/>
          <w:sz w:val="24"/>
          <w:lang w:val="de-DE" w:eastAsia="ko-KR"/>
        </w:rPr>
        <w:t>9</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January</w:t>
      </w:r>
      <w:r>
        <w:rPr>
          <w:rFonts w:ascii="Arial" w:hAnsi="Arial"/>
          <w:b/>
          <w:bCs/>
          <w:sz w:val="24"/>
          <w:lang w:val="de-DE"/>
        </w:rPr>
        <w:t xml:space="preserve"> 201</w:t>
      </w:r>
      <w:r>
        <w:rPr>
          <w:rFonts w:ascii="Arial" w:eastAsiaTheme="minorEastAsia" w:hAnsi="Arial" w:hint="eastAsia"/>
          <w:b/>
          <w:bCs/>
          <w:sz w:val="24"/>
          <w:lang w:val="de-DE" w:eastAsia="ko-KR"/>
        </w:rPr>
        <w:t>7</w:t>
      </w:r>
    </w:p>
    <w:p w14:paraId="20795B28" w14:textId="77777777" w:rsidR="00FE5799" w:rsidRPr="00CE3BA6" w:rsidRDefault="00FE5799" w:rsidP="00F70070">
      <w:pPr>
        <w:pStyle w:val="a4"/>
        <w:jc w:val="both"/>
        <w:rPr>
          <w:lang w:val="de-DE"/>
        </w:rPr>
      </w:pPr>
    </w:p>
    <w:p w14:paraId="6AAACA85" w14:textId="39EC67CD" w:rsidR="009372E8" w:rsidRPr="009372E8" w:rsidRDefault="009372E8" w:rsidP="00F70070">
      <w:pPr>
        <w:tabs>
          <w:tab w:val="left" w:pos="1985"/>
        </w:tabs>
        <w:spacing w:after="120"/>
        <w:jc w:val="both"/>
        <w:rPr>
          <w:rFonts w:ascii="Arial" w:eastAsia="맑은 고딕" w:hAnsi="Arial" w:cs="Arial"/>
          <w:sz w:val="24"/>
          <w:lang w:eastAsia="ko-KR"/>
        </w:rPr>
      </w:pPr>
      <w:r w:rsidRPr="009372E8">
        <w:rPr>
          <w:rFonts w:ascii="Arial" w:eastAsia="맑은 고딕" w:hAnsi="Arial" w:cs="Arial"/>
          <w:b/>
          <w:sz w:val="24"/>
          <w:lang w:eastAsia="ko-KR"/>
        </w:rPr>
        <w:t>Agenda item:</w:t>
      </w:r>
      <w:r w:rsidRPr="009372E8">
        <w:rPr>
          <w:rFonts w:ascii="Arial" w:eastAsia="맑은 고딕" w:hAnsi="Arial" w:cs="Arial"/>
          <w:b/>
          <w:sz w:val="24"/>
          <w:lang w:eastAsia="ko-KR"/>
        </w:rPr>
        <w:tab/>
      </w:r>
      <w:r w:rsidR="00F364AB" w:rsidRPr="00D7601A">
        <w:rPr>
          <w:rFonts w:ascii="Arial" w:eastAsia="맑은 고딕" w:hAnsi="Arial" w:cs="Arial"/>
          <w:sz w:val="24"/>
          <w:lang w:eastAsia="ko-KR"/>
        </w:rPr>
        <w:t>3.2.2.7</w:t>
      </w:r>
    </w:p>
    <w:p w14:paraId="35284AFA" w14:textId="77777777" w:rsidR="009372E8" w:rsidRPr="009372E8" w:rsidRDefault="009372E8" w:rsidP="00F70070">
      <w:pPr>
        <w:tabs>
          <w:tab w:val="left" w:pos="1985"/>
        </w:tabs>
        <w:spacing w:after="120"/>
        <w:jc w:val="both"/>
        <w:rPr>
          <w:rFonts w:ascii="Arial" w:eastAsia="맑은 고딕" w:hAnsi="Arial" w:cs="Arial"/>
          <w:b/>
          <w:sz w:val="24"/>
          <w:lang w:eastAsia="ko-KR"/>
        </w:rPr>
      </w:pPr>
      <w:r w:rsidRPr="009372E8">
        <w:rPr>
          <w:rFonts w:ascii="Arial" w:eastAsia="맑은 고딕" w:hAnsi="Arial" w:cs="Arial"/>
          <w:b/>
          <w:sz w:val="24"/>
          <w:lang w:eastAsia="ko-KR"/>
        </w:rPr>
        <w:t>Source:</w:t>
      </w:r>
      <w:r w:rsidRPr="009372E8">
        <w:rPr>
          <w:rFonts w:ascii="Arial" w:eastAsia="맑은 고딕" w:hAnsi="Arial" w:cs="Arial"/>
          <w:b/>
          <w:sz w:val="24"/>
          <w:lang w:eastAsia="ko-KR"/>
        </w:rPr>
        <w:tab/>
      </w:r>
      <w:r w:rsidRPr="009372E8">
        <w:rPr>
          <w:rFonts w:ascii="Arial" w:eastAsia="맑은 고딕" w:hAnsi="Arial" w:cs="Arial"/>
          <w:sz w:val="24"/>
          <w:lang w:eastAsia="ko-KR"/>
        </w:rPr>
        <w:t>Samsung</w:t>
      </w:r>
    </w:p>
    <w:p w14:paraId="65D1198E" w14:textId="6C3BAA47" w:rsidR="009372E8" w:rsidRPr="009372E8" w:rsidRDefault="009372E8" w:rsidP="00F70070">
      <w:pPr>
        <w:tabs>
          <w:tab w:val="left" w:pos="1985"/>
        </w:tabs>
        <w:spacing w:after="120"/>
        <w:jc w:val="both"/>
        <w:rPr>
          <w:rFonts w:ascii="Arial" w:eastAsia="맑은 고딕" w:hAnsi="Arial" w:cs="Arial"/>
          <w:b/>
          <w:sz w:val="24"/>
          <w:lang w:eastAsia="ko-KR"/>
        </w:rPr>
      </w:pPr>
      <w:r w:rsidRPr="009372E8">
        <w:rPr>
          <w:rFonts w:ascii="Arial" w:eastAsia="맑은 고딕" w:hAnsi="Arial" w:cs="Arial"/>
          <w:b/>
          <w:sz w:val="24"/>
          <w:lang w:eastAsia="ko-KR"/>
        </w:rPr>
        <w:t>Title:</w:t>
      </w:r>
      <w:r w:rsidRPr="009372E8">
        <w:rPr>
          <w:rFonts w:ascii="Arial" w:eastAsia="맑은 고딕" w:hAnsi="Arial" w:cs="Arial"/>
          <w:b/>
          <w:sz w:val="24"/>
          <w:lang w:eastAsia="ko-KR"/>
        </w:rPr>
        <w:tab/>
      </w:r>
      <w:r w:rsidR="00D91FAF">
        <w:rPr>
          <w:rFonts w:ascii="Arial" w:eastAsia="맑은 고딕" w:hAnsi="Arial" w:cs="Arial"/>
          <w:sz w:val="24"/>
          <w:lang w:eastAsia="ko-KR"/>
        </w:rPr>
        <w:t>Bandwidth</w:t>
      </w:r>
      <w:r w:rsidR="00D91FAF" w:rsidRPr="0020299F">
        <w:rPr>
          <w:rFonts w:ascii="Arial" w:eastAsia="맑은 고딕" w:hAnsi="Arial" w:cs="Arial"/>
          <w:sz w:val="24"/>
          <w:lang w:eastAsia="ko-KR"/>
        </w:rPr>
        <w:t xml:space="preserve"> </w:t>
      </w:r>
      <w:r w:rsidR="005C522E">
        <w:rPr>
          <w:rFonts w:ascii="Arial" w:eastAsia="맑은 고딕" w:hAnsi="Arial" w:cs="Arial" w:hint="eastAsia"/>
          <w:sz w:val="24"/>
          <w:lang w:eastAsia="ko-KR"/>
        </w:rPr>
        <w:t>c</w:t>
      </w:r>
      <w:r w:rsidR="00D91FAF">
        <w:rPr>
          <w:rFonts w:ascii="Arial" w:eastAsia="맑은 고딕" w:hAnsi="Arial" w:cs="Arial"/>
          <w:sz w:val="24"/>
          <w:lang w:eastAsia="ko-KR"/>
        </w:rPr>
        <w:t xml:space="preserve">onfigurations for </w:t>
      </w:r>
      <w:r w:rsidR="005C522E">
        <w:rPr>
          <w:rFonts w:ascii="Arial" w:eastAsia="맑은 고딕" w:hAnsi="Arial" w:cs="Arial" w:hint="eastAsia"/>
          <w:sz w:val="24"/>
          <w:lang w:eastAsia="ko-KR"/>
        </w:rPr>
        <w:t>s</w:t>
      </w:r>
      <w:r w:rsidR="005C522E">
        <w:rPr>
          <w:rFonts w:ascii="Arial" w:eastAsia="맑은 고딕" w:hAnsi="Arial" w:cs="Arial"/>
          <w:sz w:val="24"/>
          <w:lang w:eastAsia="ko-KR"/>
        </w:rPr>
        <w:t xml:space="preserve">ingle </w:t>
      </w:r>
      <w:r w:rsidR="005C522E">
        <w:rPr>
          <w:rFonts w:ascii="Arial" w:eastAsia="맑은 고딕" w:hAnsi="Arial" w:cs="Arial" w:hint="eastAsia"/>
          <w:sz w:val="24"/>
          <w:lang w:eastAsia="ko-KR"/>
        </w:rPr>
        <w:t>c</w:t>
      </w:r>
      <w:r w:rsidR="0020299F" w:rsidRPr="0020299F">
        <w:rPr>
          <w:rFonts w:ascii="Arial" w:eastAsia="맑은 고딕" w:hAnsi="Arial" w:cs="Arial"/>
          <w:sz w:val="24"/>
          <w:lang w:eastAsia="ko-KR"/>
        </w:rPr>
        <w:t>arrier</w:t>
      </w:r>
      <w:r w:rsidR="005C522E">
        <w:rPr>
          <w:rFonts w:ascii="Arial" w:eastAsia="맑은 고딕" w:hAnsi="Arial" w:cs="Arial"/>
          <w:sz w:val="24"/>
          <w:lang w:eastAsia="ko-KR"/>
        </w:rPr>
        <w:t xml:space="preserve"> </w:t>
      </w:r>
      <w:r w:rsidR="005C522E">
        <w:rPr>
          <w:rFonts w:ascii="Arial" w:eastAsia="맑은 고딕" w:hAnsi="Arial" w:cs="Arial" w:hint="eastAsia"/>
          <w:sz w:val="24"/>
          <w:lang w:eastAsia="ko-KR"/>
        </w:rPr>
        <w:t>w</w:t>
      </w:r>
      <w:r w:rsidR="005C522E">
        <w:rPr>
          <w:rFonts w:ascii="Arial" w:eastAsia="맑은 고딕" w:hAnsi="Arial" w:cs="Arial"/>
          <w:sz w:val="24"/>
          <w:lang w:eastAsia="ko-KR"/>
        </w:rPr>
        <w:t xml:space="preserve">ideband </w:t>
      </w:r>
      <w:r w:rsidR="005C522E">
        <w:rPr>
          <w:rFonts w:ascii="Arial" w:eastAsia="맑은 고딕" w:hAnsi="Arial" w:cs="Arial" w:hint="eastAsia"/>
          <w:sz w:val="24"/>
          <w:lang w:eastAsia="ko-KR"/>
        </w:rPr>
        <w:t>o</w:t>
      </w:r>
      <w:r w:rsidR="00D91FAF">
        <w:rPr>
          <w:rFonts w:ascii="Arial" w:eastAsia="맑은 고딕" w:hAnsi="Arial" w:cs="Arial"/>
          <w:sz w:val="24"/>
          <w:lang w:eastAsia="ko-KR"/>
        </w:rPr>
        <w:t>perations</w:t>
      </w:r>
      <w:r w:rsidR="005C522E">
        <w:rPr>
          <w:rFonts w:ascii="Arial" w:eastAsia="맑은 고딕" w:hAnsi="Arial" w:cs="Arial" w:hint="eastAsia"/>
          <w:sz w:val="24"/>
          <w:lang w:eastAsia="ko-KR"/>
        </w:rPr>
        <w:t xml:space="preserve"> in NR</w:t>
      </w:r>
    </w:p>
    <w:p w14:paraId="21CE5A65" w14:textId="77777777" w:rsidR="009372E8" w:rsidRPr="009372E8" w:rsidRDefault="009372E8" w:rsidP="00F70070">
      <w:pPr>
        <w:pStyle w:val="a4"/>
        <w:tabs>
          <w:tab w:val="clear" w:pos="4536"/>
          <w:tab w:val="left" w:pos="1920"/>
        </w:tabs>
        <w:ind w:left="1800" w:hanging="1800"/>
        <w:jc w:val="both"/>
        <w:rPr>
          <w:rFonts w:eastAsia="맑은 고딕" w:cs="Arial"/>
          <w:b w:val="0"/>
          <w:sz w:val="24"/>
          <w:lang w:eastAsia="ko-KR"/>
        </w:rPr>
      </w:pPr>
      <w:r w:rsidRPr="009372E8">
        <w:rPr>
          <w:rFonts w:eastAsia="맑은 고딕" w:cs="Arial"/>
          <w:sz w:val="24"/>
          <w:lang w:eastAsia="ko-KR"/>
        </w:rPr>
        <w:t>Document for:</w:t>
      </w:r>
      <w:r w:rsidRPr="009372E8">
        <w:rPr>
          <w:rFonts w:eastAsia="맑은 고딕" w:cs="Arial"/>
          <w:sz w:val="24"/>
          <w:lang w:eastAsia="ko-KR"/>
        </w:rPr>
        <w:tab/>
      </w:r>
      <w:r>
        <w:rPr>
          <w:rFonts w:eastAsia="맑은 고딕" w:cs="Arial" w:hint="eastAsia"/>
          <w:sz w:val="24"/>
          <w:lang w:eastAsia="ko-KR"/>
        </w:rPr>
        <w:t xml:space="preserve">   </w:t>
      </w:r>
      <w:r w:rsidRPr="009372E8">
        <w:rPr>
          <w:rFonts w:eastAsia="맑은 고딕" w:cs="Arial"/>
          <w:b w:val="0"/>
          <w:sz w:val="24"/>
          <w:lang w:eastAsia="ko-KR"/>
        </w:rPr>
        <w:t>Discussion</w:t>
      </w:r>
    </w:p>
    <w:p w14:paraId="046E8732" w14:textId="77777777" w:rsidR="00FE5799" w:rsidRPr="002100D2" w:rsidRDefault="00FE5799" w:rsidP="00F70070">
      <w:pPr>
        <w:pBdr>
          <w:bottom w:val="single" w:sz="4" w:space="1" w:color="auto"/>
        </w:pBdr>
        <w:tabs>
          <w:tab w:val="left" w:pos="2552"/>
        </w:tabs>
        <w:jc w:val="both"/>
      </w:pPr>
    </w:p>
    <w:p w14:paraId="1F454CFA" w14:textId="77777777" w:rsidR="00FE5799" w:rsidRDefault="00FE5799" w:rsidP="00F70070">
      <w:pPr>
        <w:pStyle w:val="1"/>
        <w:spacing w:before="180"/>
        <w:ind w:left="562" w:hanging="562"/>
        <w:jc w:val="both"/>
      </w:pPr>
      <w:r>
        <w:t>Introduction</w:t>
      </w:r>
    </w:p>
    <w:p w14:paraId="40A6D50F" w14:textId="77777777" w:rsidR="006D2166" w:rsidRDefault="006D2166" w:rsidP="00F70070">
      <w:pPr>
        <w:pStyle w:val="a0"/>
        <w:rPr>
          <w:rFonts w:eastAsiaTheme="minorEastAsia"/>
          <w:lang w:eastAsia="ko-KR"/>
        </w:rPr>
      </w:pPr>
      <w:r>
        <w:rPr>
          <w:rFonts w:eastAsiaTheme="minorEastAsia" w:hint="eastAsia"/>
          <w:lang w:eastAsia="ko-KR"/>
        </w:rPr>
        <w:t>In RAN1#8</w:t>
      </w:r>
      <w:r w:rsidR="00762E2E">
        <w:rPr>
          <w:rFonts w:eastAsiaTheme="minorEastAsia"/>
          <w:lang w:eastAsia="ko-KR"/>
        </w:rPr>
        <w:t>6bis</w:t>
      </w:r>
      <w:r>
        <w:rPr>
          <w:rFonts w:eastAsiaTheme="minorEastAsia" w:hint="eastAsia"/>
          <w:lang w:eastAsia="ko-KR"/>
        </w:rPr>
        <w:t xml:space="preserve">, the following </w:t>
      </w:r>
      <w:r w:rsidR="006A0000">
        <w:rPr>
          <w:rFonts w:eastAsiaTheme="minorEastAsia"/>
          <w:lang w:eastAsia="ko-KR"/>
        </w:rPr>
        <w:t xml:space="preserve">were </w:t>
      </w:r>
      <w:r w:rsidR="006A0000">
        <w:rPr>
          <w:rFonts w:eastAsiaTheme="minorEastAsia" w:hint="eastAsia"/>
          <w:lang w:eastAsia="ko-KR"/>
        </w:rPr>
        <w:t>agree</w:t>
      </w:r>
      <w:r w:rsidR="006A0000">
        <w:rPr>
          <w:rFonts w:eastAsiaTheme="minorEastAsia"/>
          <w:lang w:eastAsia="ko-KR"/>
        </w:rPr>
        <w:t>d</w:t>
      </w:r>
      <w:r w:rsidR="006A0000">
        <w:rPr>
          <w:rFonts w:eastAsiaTheme="minorEastAsia" w:hint="eastAsia"/>
          <w:lang w:eastAsia="ko-KR"/>
        </w:rPr>
        <w:t xml:space="preserve"> </w:t>
      </w:r>
      <w:r>
        <w:rPr>
          <w:rFonts w:eastAsiaTheme="minorEastAsia"/>
          <w:lang w:eastAsia="ko-KR"/>
        </w:rPr>
        <w:t xml:space="preserve">regarding </w:t>
      </w:r>
      <w:r w:rsidR="00673850">
        <w:rPr>
          <w:rFonts w:eastAsiaTheme="minorEastAsia"/>
          <w:lang w:eastAsia="ko-KR"/>
        </w:rPr>
        <w:t xml:space="preserve">wider </w:t>
      </w:r>
      <w:r>
        <w:rPr>
          <w:rFonts w:eastAsiaTheme="minorEastAsia"/>
          <w:lang w:eastAsia="ko-KR"/>
        </w:rPr>
        <w:t xml:space="preserve">bandwidth for NR </w:t>
      </w:r>
      <w:r>
        <w:rPr>
          <w:rFonts w:eastAsiaTheme="minorEastAsia" w:hint="eastAsia"/>
          <w:lang w:eastAsia="ko-KR"/>
        </w:rPr>
        <w:t>[1];</w:t>
      </w:r>
    </w:p>
    <w:p w14:paraId="5B4869CD" w14:textId="77777777" w:rsidR="0003485E" w:rsidRPr="00E05813" w:rsidRDefault="0003485E" w:rsidP="00F70070">
      <w:pPr>
        <w:jc w:val="both"/>
        <w:rPr>
          <w:rFonts w:eastAsia="MS Mincho"/>
          <w:b/>
          <w:u w:val="single"/>
          <w:lang w:eastAsia="ja-JP"/>
        </w:rPr>
      </w:pPr>
      <w:r w:rsidRPr="00314431">
        <w:rPr>
          <w:rFonts w:eastAsia="MS Mincho" w:hint="eastAsia"/>
          <w:b/>
          <w:highlight w:val="green"/>
          <w:u w:val="single"/>
          <w:lang w:eastAsia="ja-JP"/>
        </w:rPr>
        <w:t>Agreements:</w:t>
      </w:r>
    </w:p>
    <w:p w14:paraId="040FD703" w14:textId="77777777" w:rsidR="00BD5948" w:rsidRPr="003060B2" w:rsidRDefault="00BD5948" w:rsidP="00F70070">
      <w:pPr>
        <w:numPr>
          <w:ilvl w:val="0"/>
          <w:numId w:val="10"/>
        </w:numPr>
        <w:jc w:val="both"/>
        <w:rPr>
          <w:rFonts w:eastAsia="MS Mincho"/>
          <w:lang w:eastAsia="ja-JP"/>
        </w:rPr>
      </w:pPr>
      <w:r>
        <w:rPr>
          <w:rFonts w:eastAsia="MS Mincho" w:hint="eastAsia"/>
          <w:lang w:eastAsia="ja-JP"/>
        </w:rPr>
        <w:t>At least for Phase 1, s</w:t>
      </w:r>
      <w:r w:rsidRPr="00CA3C19">
        <w:rPr>
          <w:rFonts w:eastAsia="MS Mincho"/>
          <w:lang w:eastAsia="ja-JP"/>
        </w:rPr>
        <w:t xml:space="preserve">tudy mechanisms to </w:t>
      </w:r>
      <w:r>
        <w:rPr>
          <w:rFonts w:eastAsia="MS Mincho"/>
          <w:lang w:eastAsia="ja-JP"/>
        </w:rPr>
        <w:t xml:space="preserve">support </w:t>
      </w:r>
      <w:r>
        <w:rPr>
          <w:rFonts w:eastAsia="MS Mincho" w:hint="eastAsia"/>
          <w:lang w:eastAsia="ja-JP"/>
        </w:rPr>
        <w:t xml:space="preserve">operation over e.g. </w:t>
      </w:r>
      <w:r w:rsidRPr="00902D25">
        <w:rPr>
          <w:rFonts w:eastAsia="MS Mincho"/>
          <w:lang w:eastAsia="ja-JP"/>
        </w:rPr>
        <w:t>around 1GHz</w:t>
      </w:r>
      <w:r w:rsidRPr="00806B0F">
        <w:rPr>
          <w:rFonts w:eastAsia="MS Mincho"/>
          <w:b/>
          <w:lang w:eastAsia="ja-JP"/>
        </w:rPr>
        <w:t xml:space="preserve"> </w:t>
      </w:r>
      <w:r>
        <w:rPr>
          <w:rFonts w:eastAsia="MS Mincho" w:hint="eastAsia"/>
          <w:lang w:eastAsia="ja-JP"/>
        </w:rPr>
        <w:t xml:space="preserve">contiguous spectrum </w:t>
      </w:r>
      <w:r w:rsidRPr="00CA3C19">
        <w:rPr>
          <w:rFonts w:eastAsia="MS Mincho"/>
          <w:lang w:eastAsia="ja-JP"/>
        </w:rPr>
        <w:t>from both NW and UE perspectives</w:t>
      </w:r>
      <w:r>
        <w:rPr>
          <w:rFonts w:eastAsia="MS Mincho" w:hint="eastAsia"/>
          <w:lang w:eastAsia="ja-JP"/>
        </w:rPr>
        <w:t xml:space="preserve"> i</w:t>
      </w:r>
      <w:r w:rsidRPr="003060B2">
        <w:rPr>
          <w:rFonts w:eastAsia="MS Mincho"/>
          <w:lang w:eastAsia="ja-JP"/>
        </w:rPr>
        <w:t>ncluding the maximum single carrier bandwidth of at least 80 MHz</w:t>
      </w:r>
    </w:p>
    <w:p w14:paraId="6EB83307" w14:textId="77777777" w:rsidR="00BD5948" w:rsidRPr="00CA3C19" w:rsidRDefault="00BD5948" w:rsidP="00F70070">
      <w:pPr>
        <w:numPr>
          <w:ilvl w:val="1"/>
          <w:numId w:val="10"/>
        </w:numPr>
        <w:jc w:val="both"/>
        <w:rPr>
          <w:rFonts w:eastAsia="MS Mincho"/>
          <w:lang w:eastAsia="ja-JP"/>
        </w:rPr>
      </w:pPr>
      <w:r w:rsidRPr="00CA3C19">
        <w:rPr>
          <w:rFonts w:eastAsia="MS Mincho"/>
          <w:lang w:eastAsia="ja-JP"/>
        </w:rPr>
        <w:t>Carrier Aggregation/Dual Connectivity (Multi-carrier approach)</w:t>
      </w:r>
      <w:r>
        <w:rPr>
          <w:rFonts w:eastAsia="MS Mincho" w:hint="eastAsia"/>
          <w:lang w:eastAsia="ja-JP"/>
        </w:rPr>
        <w:t xml:space="preserve"> </w:t>
      </w:r>
    </w:p>
    <w:p w14:paraId="2B8A8270" w14:textId="77777777" w:rsidR="00BD5948" w:rsidRDefault="00BD5948" w:rsidP="00F70070">
      <w:pPr>
        <w:numPr>
          <w:ilvl w:val="2"/>
          <w:numId w:val="10"/>
        </w:numPr>
        <w:jc w:val="both"/>
        <w:rPr>
          <w:rFonts w:eastAsia="MS Mincho"/>
          <w:lang w:eastAsia="ja-JP"/>
        </w:rPr>
      </w:pPr>
      <w:r w:rsidRPr="00CA3C19">
        <w:rPr>
          <w:rFonts w:eastAsia="MS Mincho"/>
          <w:lang w:eastAsia="ja-JP"/>
        </w:rPr>
        <w:t>Details are FFS</w:t>
      </w:r>
    </w:p>
    <w:p w14:paraId="7BBAD5EE" w14:textId="77777777" w:rsidR="00BD5948" w:rsidRPr="00CA3C19" w:rsidRDefault="00BD5948" w:rsidP="00F70070">
      <w:pPr>
        <w:numPr>
          <w:ilvl w:val="2"/>
          <w:numId w:val="10"/>
        </w:numPr>
        <w:jc w:val="both"/>
        <w:rPr>
          <w:rFonts w:eastAsia="MS Mincho"/>
          <w:lang w:eastAsia="ja-JP"/>
        </w:rPr>
      </w:pPr>
      <w:r>
        <w:rPr>
          <w:rFonts w:eastAsia="MS Mincho" w:hint="eastAsia"/>
          <w:lang w:eastAsia="ja-JP"/>
        </w:rPr>
        <w:t>FFS: non-contiguous spectrum case</w:t>
      </w:r>
    </w:p>
    <w:p w14:paraId="49AE0418" w14:textId="77777777" w:rsidR="00BD5948" w:rsidRPr="005B2677" w:rsidRDefault="00BD5948" w:rsidP="00F70070">
      <w:pPr>
        <w:numPr>
          <w:ilvl w:val="1"/>
          <w:numId w:val="10"/>
        </w:numPr>
        <w:jc w:val="both"/>
        <w:rPr>
          <w:rFonts w:eastAsia="MS Mincho"/>
          <w:lang w:eastAsia="ja-JP"/>
        </w:rPr>
      </w:pPr>
      <w:r w:rsidRPr="005B2677">
        <w:rPr>
          <w:rFonts w:eastAsia="MS Mincho"/>
          <w:lang w:eastAsia="ja-JP"/>
        </w:rPr>
        <w:t>Single carrier operation</w:t>
      </w:r>
      <w:r w:rsidRPr="005B2677">
        <w:rPr>
          <w:rFonts w:eastAsia="MS Mincho" w:hint="eastAsia"/>
          <w:lang w:eastAsia="ja-JP"/>
        </w:rPr>
        <w:t xml:space="preserve"> </w:t>
      </w:r>
    </w:p>
    <w:p w14:paraId="33DFF7A4" w14:textId="77777777" w:rsidR="00BD5948" w:rsidRPr="00E555A1" w:rsidRDefault="00BD5948" w:rsidP="00F70070">
      <w:pPr>
        <w:numPr>
          <w:ilvl w:val="2"/>
          <w:numId w:val="10"/>
        </w:numPr>
        <w:jc w:val="both"/>
        <w:rPr>
          <w:rFonts w:eastAsia="MS Mincho"/>
          <w:lang w:eastAsia="ja-JP"/>
        </w:rPr>
      </w:pPr>
      <w:r w:rsidRPr="00CA3C19">
        <w:rPr>
          <w:rFonts w:eastAsia="MS Mincho"/>
          <w:lang w:eastAsia="ja-JP"/>
        </w:rPr>
        <w:t xml:space="preserve">Details are FFS </w:t>
      </w:r>
    </w:p>
    <w:p w14:paraId="322C3023" w14:textId="77777777" w:rsidR="00BD5948" w:rsidRDefault="00BD5948" w:rsidP="00F70070">
      <w:pPr>
        <w:numPr>
          <w:ilvl w:val="2"/>
          <w:numId w:val="10"/>
        </w:numPr>
        <w:jc w:val="both"/>
        <w:rPr>
          <w:rFonts w:eastAsia="MS Mincho"/>
          <w:lang w:eastAsia="ja-JP"/>
        </w:rPr>
      </w:pPr>
      <w:r>
        <w:rPr>
          <w:rFonts w:eastAsia="MS Mincho"/>
          <w:lang w:eastAsia="ja-JP"/>
        </w:rPr>
        <w:t xml:space="preserve">Maximum channel </w:t>
      </w:r>
      <w:r>
        <w:rPr>
          <w:rFonts w:eastAsia="MS Mincho" w:hint="eastAsia"/>
          <w:lang w:eastAsia="ja-JP"/>
        </w:rPr>
        <w:t>bandwidth</w:t>
      </w:r>
      <w:r w:rsidRPr="00CA3C19">
        <w:rPr>
          <w:rFonts w:eastAsia="MS Mincho"/>
          <w:lang w:eastAsia="ja-JP"/>
        </w:rPr>
        <w:t xml:space="preserve"> continues to be studied in RAN1/4</w:t>
      </w:r>
    </w:p>
    <w:p w14:paraId="643F7538" w14:textId="77777777" w:rsidR="00BD5948" w:rsidRPr="005B2677" w:rsidRDefault="00BD5948" w:rsidP="00F70070">
      <w:pPr>
        <w:numPr>
          <w:ilvl w:val="3"/>
          <w:numId w:val="10"/>
        </w:numPr>
        <w:jc w:val="both"/>
        <w:rPr>
          <w:rFonts w:eastAsia="MS Mincho"/>
          <w:lang w:eastAsia="ja-JP"/>
        </w:rPr>
      </w:pPr>
      <w:r w:rsidRPr="005B2677">
        <w:rPr>
          <w:rFonts w:eastAsia="MS Mincho" w:hint="eastAsia"/>
          <w:lang w:eastAsia="ja-JP"/>
        </w:rPr>
        <w:t>Maximum bandwidth supported by some UE capabilities/categories may be less than channel bandwidth of serving single carrier</w:t>
      </w:r>
    </w:p>
    <w:p w14:paraId="7180E29F" w14:textId="77777777" w:rsidR="00BD5948" w:rsidRPr="005B2677" w:rsidRDefault="00BD5948" w:rsidP="00F70070">
      <w:pPr>
        <w:numPr>
          <w:ilvl w:val="4"/>
          <w:numId w:val="10"/>
        </w:numPr>
        <w:jc w:val="both"/>
        <w:rPr>
          <w:rFonts w:eastAsia="MS Mincho"/>
          <w:lang w:eastAsia="ja-JP"/>
        </w:rPr>
      </w:pPr>
      <w:r w:rsidRPr="005B2677">
        <w:rPr>
          <w:rFonts w:eastAsia="MS Mincho" w:hint="eastAsia"/>
          <w:lang w:eastAsia="ja-JP"/>
        </w:rPr>
        <w:t>Note that some UE capabilities/categories may support channel bandwidth of serving single carrier</w:t>
      </w:r>
    </w:p>
    <w:p w14:paraId="7882E292" w14:textId="77777777" w:rsidR="00BD5948" w:rsidRPr="00A60C30" w:rsidRDefault="00BD5948" w:rsidP="00F70070">
      <w:pPr>
        <w:numPr>
          <w:ilvl w:val="0"/>
          <w:numId w:val="10"/>
        </w:numPr>
        <w:jc w:val="both"/>
        <w:rPr>
          <w:rFonts w:eastAsia="MS Mincho"/>
          <w:lang w:eastAsia="ja-JP"/>
        </w:rPr>
      </w:pPr>
      <w:r w:rsidRPr="00CA3C19">
        <w:rPr>
          <w:rFonts w:eastAsia="MS Mincho"/>
          <w:lang w:eastAsia="ja-JP"/>
        </w:rPr>
        <w:t xml:space="preserve">Send an LS to ask RAN4 to </w:t>
      </w:r>
      <w:r>
        <w:rPr>
          <w:rFonts w:eastAsia="MS Mincho" w:hint="eastAsia"/>
          <w:lang w:eastAsia="ja-JP"/>
        </w:rPr>
        <w:t xml:space="preserve">study the </w:t>
      </w:r>
      <w:r w:rsidRPr="00CA3C19">
        <w:rPr>
          <w:rFonts w:eastAsia="MS Mincho"/>
          <w:lang w:eastAsia="ja-JP"/>
        </w:rPr>
        <w:t>feasibilities</w:t>
      </w:r>
      <w:r>
        <w:rPr>
          <w:rFonts w:eastAsia="MS Mincho" w:hint="eastAsia"/>
          <w:lang w:eastAsia="ja-JP"/>
        </w:rPr>
        <w:t xml:space="preserve"> of mechanisms above </w:t>
      </w:r>
      <w:r w:rsidRPr="00CA3C19">
        <w:rPr>
          <w:rFonts w:eastAsia="MS Mincho"/>
          <w:lang w:eastAsia="ja-JP"/>
        </w:rPr>
        <w:t>from both NW and UE perspectives</w:t>
      </w:r>
    </w:p>
    <w:p w14:paraId="503B0222" w14:textId="77777777" w:rsidR="006A0000" w:rsidRDefault="006A0000" w:rsidP="00F70070">
      <w:pPr>
        <w:jc w:val="both"/>
        <w:rPr>
          <w:rFonts w:eastAsia="MS Mincho"/>
          <w:b/>
          <w:highlight w:val="green"/>
          <w:u w:val="single"/>
          <w:lang w:eastAsia="ja-JP"/>
        </w:rPr>
      </w:pPr>
    </w:p>
    <w:p w14:paraId="02CDBF60" w14:textId="77777777" w:rsidR="005857E3" w:rsidRPr="00E05813" w:rsidRDefault="005857E3" w:rsidP="00F70070">
      <w:pPr>
        <w:jc w:val="both"/>
        <w:rPr>
          <w:rFonts w:eastAsia="MS Mincho"/>
          <w:b/>
          <w:u w:val="single"/>
          <w:lang w:eastAsia="ja-JP"/>
        </w:rPr>
      </w:pPr>
      <w:r w:rsidRPr="00314431">
        <w:rPr>
          <w:rFonts w:eastAsia="MS Mincho" w:hint="eastAsia"/>
          <w:b/>
          <w:highlight w:val="green"/>
          <w:u w:val="single"/>
          <w:lang w:eastAsia="ja-JP"/>
        </w:rPr>
        <w:t>Agreements:</w:t>
      </w:r>
    </w:p>
    <w:p w14:paraId="2A33845E" w14:textId="77777777" w:rsidR="005857E3" w:rsidRPr="00E05813" w:rsidRDefault="005857E3" w:rsidP="00F70070">
      <w:pPr>
        <w:numPr>
          <w:ilvl w:val="0"/>
          <w:numId w:val="11"/>
        </w:numPr>
        <w:jc w:val="both"/>
        <w:rPr>
          <w:rFonts w:eastAsia="MS Mincho"/>
          <w:lang w:eastAsia="ja-JP"/>
        </w:rPr>
      </w:pPr>
      <w:r w:rsidRPr="00E05813">
        <w:rPr>
          <w:rFonts w:eastAsia="MS Mincho"/>
          <w:lang w:eastAsia="ja-JP"/>
        </w:rPr>
        <w:t xml:space="preserve">At least </w:t>
      </w:r>
      <w:r w:rsidRPr="00442C7C">
        <w:rPr>
          <w:rFonts w:eastAsia="MS Mincho"/>
          <w:lang w:eastAsia="ja-JP"/>
        </w:rPr>
        <w:t xml:space="preserve">for </w:t>
      </w:r>
      <w:r w:rsidRPr="00442C7C">
        <w:rPr>
          <w:rFonts w:eastAsia="MS Mincho"/>
          <w:b/>
          <w:lang w:eastAsia="ja-JP"/>
        </w:rPr>
        <w:t>single carrier operation</w:t>
      </w:r>
      <w:r w:rsidRPr="00E05813">
        <w:rPr>
          <w:rFonts w:eastAsia="MS Mincho"/>
          <w:lang w:eastAsia="ja-JP"/>
        </w:rPr>
        <w:t>,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1569D05D" w14:textId="77777777" w:rsidR="005857E3" w:rsidRPr="00E05813" w:rsidRDefault="005857E3" w:rsidP="00F70070">
      <w:pPr>
        <w:numPr>
          <w:ilvl w:val="1"/>
          <w:numId w:val="11"/>
        </w:numPr>
        <w:jc w:val="both"/>
        <w:rPr>
          <w:rFonts w:eastAsia="MS Mincho"/>
          <w:lang w:eastAsia="ja-JP"/>
        </w:rPr>
      </w:pPr>
      <w:r w:rsidRPr="00E05813">
        <w:rPr>
          <w:rFonts w:eastAsia="MS Mincho"/>
          <w:lang w:eastAsia="ja-JP"/>
        </w:rPr>
        <w:t>FFS the first RF bandwidth is within the second RF bandwidth</w:t>
      </w:r>
    </w:p>
    <w:p w14:paraId="176B2B79" w14:textId="77777777" w:rsidR="005857E3" w:rsidRPr="00E05813" w:rsidRDefault="005857E3" w:rsidP="00F70070">
      <w:pPr>
        <w:numPr>
          <w:ilvl w:val="2"/>
          <w:numId w:val="11"/>
        </w:numPr>
        <w:jc w:val="both"/>
        <w:rPr>
          <w:rFonts w:eastAsia="MS Mincho"/>
          <w:lang w:eastAsia="ja-JP"/>
        </w:rPr>
      </w:pPr>
      <w:r w:rsidRPr="00E05813">
        <w:rPr>
          <w:rFonts w:eastAsia="MS Mincho"/>
          <w:lang w:eastAsia="ja-JP"/>
        </w:rPr>
        <w:t>FFS the first RF bandwidth is at the center of the second RF bandwidth</w:t>
      </w:r>
    </w:p>
    <w:p w14:paraId="056F7077" w14:textId="77777777" w:rsidR="005857E3" w:rsidRPr="00E05813" w:rsidRDefault="005857E3" w:rsidP="00F70070">
      <w:pPr>
        <w:numPr>
          <w:ilvl w:val="1"/>
          <w:numId w:val="11"/>
        </w:numPr>
        <w:jc w:val="both"/>
        <w:rPr>
          <w:rFonts w:eastAsia="MS Mincho"/>
          <w:lang w:eastAsia="ja-JP"/>
        </w:rPr>
      </w:pPr>
      <w:r w:rsidRPr="00E05813">
        <w:rPr>
          <w:rFonts w:eastAsia="MS Mincho"/>
          <w:lang w:eastAsia="ja-JP"/>
        </w:rPr>
        <w:t>FFS the maximal ratio of the first RF bandwidth over the second RF bandwidth</w:t>
      </w:r>
    </w:p>
    <w:p w14:paraId="1F3A3EDA" w14:textId="77777777" w:rsidR="005857E3" w:rsidRPr="00E05813" w:rsidRDefault="005857E3" w:rsidP="00F70070">
      <w:pPr>
        <w:numPr>
          <w:ilvl w:val="1"/>
          <w:numId w:val="11"/>
        </w:numPr>
        <w:jc w:val="both"/>
        <w:rPr>
          <w:rFonts w:eastAsia="MS Mincho"/>
          <w:lang w:eastAsia="ja-JP"/>
        </w:rPr>
      </w:pPr>
      <w:r w:rsidRPr="00E05813">
        <w:rPr>
          <w:rFonts w:eastAsia="MS Mincho"/>
          <w:lang w:eastAsia="ja-JP"/>
        </w:rPr>
        <w:t>FFS detailed mechanism</w:t>
      </w:r>
    </w:p>
    <w:p w14:paraId="1889FED3" w14:textId="77777777" w:rsidR="005857E3" w:rsidRDefault="005857E3" w:rsidP="00F70070">
      <w:pPr>
        <w:numPr>
          <w:ilvl w:val="0"/>
          <w:numId w:val="11"/>
        </w:numPr>
        <w:jc w:val="both"/>
        <w:rPr>
          <w:rFonts w:eastAsia="MS Mincho"/>
          <w:lang w:eastAsia="ja-JP"/>
        </w:rPr>
      </w:pPr>
      <w:r w:rsidRPr="00E05813">
        <w:rPr>
          <w:rFonts w:eastAsia="MS Mincho"/>
          <w:lang w:eastAsia="ja-JP"/>
        </w:rPr>
        <w:t>FFS RF bandwidth adaptation for RRM measurement</w:t>
      </w:r>
    </w:p>
    <w:p w14:paraId="0831ACFA" w14:textId="77777777" w:rsidR="00162BD9" w:rsidRDefault="00162BD9" w:rsidP="00F70070">
      <w:pPr>
        <w:pStyle w:val="a0"/>
        <w:rPr>
          <w:rFonts w:eastAsiaTheme="minorEastAsia"/>
          <w:lang w:eastAsia="ko-KR"/>
        </w:rPr>
      </w:pPr>
    </w:p>
    <w:p w14:paraId="13E04524" w14:textId="70883B3F" w:rsidR="00940015" w:rsidRPr="00162BD9" w:rsidRDefault="00162BD9" w:rsidP="00F70070">
      <w:pPr>
        <w:pStyle w:val="a0"/>
        <w:rPr>
          <w:rFonts w:eastAsiaTheme="minorEastAsia"/>
          <w:lang w:eastAsia="ko-KR"/>
        </w:rPr>
      </w:pPr>
      <w:r>
        <w:rPr>
          <w:rFonts w:eastAsiaTheme="minorEastAsia" w:hint="eastAsia"/>
          <w:lang w:eastAsia="ko-KR"/>
        </w:rPr>
        <w:t>In RAN1#8</w:t>
      </w:r>
      <w:r w:rsidR="002F1201">
        <w:rPr>
          <w:rFonts w:eastAsiaTheme="minorEastAsia"/>
          <w:lang w:eastAsia="ko-KR"/>
        </w:rPr>
        <w:t>7</w:t>
      </w:r>
      <w:r>
        <w:rPr>
          <w:rFonts w:eastAsiaTheme="minorEastAsia" w:hint="eastAsia"/>
          <w:lang w:eastAsia="ko-KR"/>
        </w:rPr>
        <w:t xml:space="preserve">, the following </w:t>
      </w:r>
      <w:r w:rsidR="002F1201">
        <w:rPr>
          <w:rFonts w:eastAsiaTheme="minorEastAsia"/>
          <w:lang w:eastAsia="ko-KR"/>
        </w:rPr>
        <w:t>LS to RAN4 was</w:t>
      </w:r>
      <w:r>
        <w:rPr>
          <w:rFonts w:eastAsiaTheme="minorEastAsia"/>
          <w:lang w:eastAsia="ko-KR"/>
        </w:rPr>
        <w:t xml:space="preserve"> </w:t>
      </w:r>
      <w:r w:rsidR="006E2CAA">
        <w:rPr>
          <w:rFonts w:eastAsiaTheme="minorEastAsia"/>
          <w:lang w:eastAsia="ko-KR"/>
        </w:rPr>
        <w:t>sent</w:t>
      </w:r>
      <w:r>
        <w:rPr>
          <w:rFonts w:eastAsiaTheme="minorEastAsia" w:hint="eastAsia"/>
          <w:lang w:eastAsia="ko-KR"/>
        </w:rPr>
        <w:t xml:space="preserve"> </w:t>
      </w:r>
      <w:r>
        <w:rPr>
          <w:rFonts w:eastAsiaTheme="minorEastAsia"/>
          <w:lang w:eastAsia="ko-KR"/>
        </w:rPr>
        <w:t xml:space="preserve">regarding wider bandwidth for NR </w:t>
      </w:r>
      <w:r>
        <w:rPr>
          <w:rFonts w:eastAsiaTheme="minorEastAsia" w:hint="eastAsia"/>
          <w:lang w:eastAsia="ko-KR"/>
        </w:rPr>
        <w:t>[</w:t>
      </w:r>
      <w:r w:rsidR="006E2CAA">
        <w:rPr>
          <w:rFonts w:eastAsiaTheme="minorEastAsia"/>
          <w:lang w:eastAsia="ko-KR"/>
        </w:rPr>
        <w:t>2</w:t>
      </w:r>
      <w:r>
        <w:rPr>
          <w:rFonts w:eastAsiaTheme="minorEastAsia" w:hint="eastAsia"/>
          <w:lang w:eastAsia="ko-KR"/>
        </w:rPr>
        <w:t>];</w:t>
      </w:r>
    </w:p>
    <w:p w14:paraId="4970384A" w14:textId="77777777" w:rsidR="00940015" w:rsidRPr="008B2DB1" w:rsidRDefault="00940015" w:rsidP="00F70070">
      <w:pPr>
        <w:jc w:val="both"/>
        <w:rPr>
          <w:rFonts w:eastAsia="MS Mincho"/>
          <w:lang w:eastAsia="ja-JP"/>
        </w:rPr>
      </w:pPr>
      <w:r w:rsidRPr="00723627">
        <w:rPr>
          <w:rFonts w:eastAsia="MS Mincho" w:hint="eastAsia"/>
          <w:b/>
          <w:highlight w:val="green"/>
          <w:u w:val="single"/>
          <w:lang w:eastAsia="ja-JP"/>
        </w:rPr>
        <w:t>Agreements:</w:t>
      </w:r>
    </w:p>
    <w:p w14:paraId="712C4BCB" w14:textId="77777777" w:rsidR="00940015" w:rsidRPr="00940015" w:rsidRDefault="00940015" w:rsidP="00F70070">
      <w:pPr>
        <w:numPr>
          <w:ilvl w:val="0"/>
          <w:numId w:val="12"/>
        </w:numPr>
        <w:jc w:val="both"/>
        <w:rPr>
          <w:rFonts w:eastAsia="MS Mincho"/>
          <w:lang w:eastAsia="ja-JP"/>
        </w:rPr>
      </w:pPr>
      <w:r w:rsidRPr="00940015">
        <w:rPr>
          <w:rFonts w:eastAsia="MS Mincho"/>
          <w:lang w:eastAsia="ja-JP"/>
        </w:rPr>
        <w:t>Send LS to RAN4 to study the following points for single/multi-carrier operation</w:t>
      </w:r>
    </w:p>
    <w:p w14:paraId="4B648D93" w14:textId="77777777" w:rsidR="00940015" w:rsidRPr="00940015" w:rsidRDefault="00940015" w:rsidP="00F70070">
      <w:pPr>
        <w:numPr>
          <w:ilvl w:val="1"/>
          <w:numId w:val="12"/>
        </w:numPr>
        <w:jc w:val="both"/>
        <w:rPr>
          <w:rFonts w:eastAsia="MS Mincho"/>
          <w:lang w:eastAsia="ja-JP"/>
        </w:rPr>
      </w:pPr>
      <w:r w:rsidRPr="00940015">
        <w:rPr>
          <w:rFonts w:eastAsia="MS Mincho"/>
          <w:lang w:eastAsia="ja-JP"/>
        </w:rPr>
        <w:t>How fast is the UE RF bandwidth adaptation</w:t>
      </w:r>
    </w:p>
    <w:p w14:paraId="6B9830B8" w14:textId="77777777" w:rsidR="00940015" w:rsidRPr="00940015" w:rsidRDefault="00940015" w:rsidP="00F70070">
      <w:pPr>
        <w:numPr>
          <w:ilvl w:val="1"/>
          <w:numId w:val="12"/>
        </w:numPr>
        <w:jc w:val="both"/>
        <w:rPr>
          <w:rFonts w:eastAsia="MS Mincho"/>
          <w:lang w:eastAsia="ja-JP"/>
        </w:rPr>
      </w:pPr>
      <w:r w:rsidRPr="00940015">
        <w:rPr>
          <w:rFonts w:eastAsia="MS Mincho"/>
          <w:lang w:eastAsia="ja-JP"/>
        </w:rPr>
        <w:t>How much power saving is possible for UE RF bandwidth adaptation</w:t>
      </w:r>
    </w:p>
    <w:p w14:paraId="4891E766" w14:textId="77777777" w:rsidR="00940015" w:rsidRPr="00940015" w:rsidRDefault="00940015" w:rsidP="00F70070">
      <w:pPr>
        <w:numPr>
          <w:ilvl w:val="1"/>
          <w:numId w:val="12"/>
        </w:numPr>
        <w:jc w:val="both"/>
        <w:rPr>
          <w:rFonts w:eastAsia="MS Mincho"/>
          <w:lang w:eastAsia="ja-JP"/>
        </w:rPr>
      </w:pPr>
      <w:r w:rsidRPr="00940015">
        <w:rPr>
          <w:rFonts w:eastAsia="MS Mincho"/>
          <w:lang w:eastAsia="ja-JP"/>
        </w:rPr>
        <w:t>Other benefits</w:t>
      </w:r>
    </w:p>
    <w:p w14:paraId="206704E8" w14:textId="77777777" w:rsidR="00940015" w:rsidRPr="00940015" w:rsidRDefault="00940015" w:rsidP="00F70070">
      <w:pPr>
        <w:numPr>
          <w:ilvl w:val="1"/>
          <w:numId w:val="12"/>
        </w:numPr>
        <w:jc w:val="both"/>
        <w:rPr>
          <w:rFonts w:eastAsia="MS Mincho"/>
          <w:lang w:eastAsia="ja-JP"/>
        </w:rPr>
      </w:pPr>
      <w:r w:rsidRPr="00940015">
        <w:rPr>
          <w:rFonts w:eastAsia="MS Mincho"/>
          <w:lang w:eastAsia="ja-JP"/>
        </w:rPr>
        <w:t>Whether any of the above depends on the conditions, such as</w:t>
      </w:r>
    </w:p>
    <w:p w14:paraId="2B33EB62" w14:textId="77777777" w:rsidR="00940015" w:rsidRPr="00940015" w:rsidRDefault="00940015" w:rsidP="00F70070">
      <w:pPr>
        <w:numPr>
          <w:ilvl w:val="2"/>
          <w:numId w:val="12"/>
        </w:numPr>
        <w:jc w:val="both"/>
        <w:rPr>
          <w:rFonts w:eastAsia="MS Mincho"/>
          <w:lang w:eastAsia="ja-JP"/>
        </w:rPr>
      </w:pPr>
      <w:r w:rsidRPr="00940015">
        <w:rPr>
          <w:rFonts w:eastAsia="MS Mincho"/>
          <w:lang w:eastAsia="ja-JP"/>
        </w:rPr>
        <w:t>Whether or not first and second RF bandwidth are centered at the same frequency</w:t>
      </w:r>
    </w:p>
    <w:p w14:paraId="01D9E3CD" w14:textId="77777777" w:rsidR="00940015" w:rsidRPr="00940015" w:rsidRDefault="00940015" w:rsidP="00F70070">
      <w:pPr>
        <w:numPr>
          <w:ilvl w:val="2"/>
          <w:numId w:val="12"/>
        </w:numPr>
        <w:jc w:val="both"/>
        <w:rPr>
          <w:rFonts w:eastAsia="MS Mincho"/>
          <w:lang w:eastAsia="ja-JP"/>
        </w:rPr>
      </w:pPr>
      <w:r w:rsidRPr="00940015">
        <w:rPr>
          <w:rFonts w:eastAsia="MS Mincho"/>
          <w:lang w:eastAsia="ja-JP"/>
        </w:rPr>
        <w:t>Whether or not first RF bandwidth are partially or fully contained in the second RF bandwidth</w:t>
      </w:r>
    </w:p>
    <w:p w14:paraId="1F04D0BE" w14:textId="77777777" w:rsidR="00940015" w:rsidRPr="00940015" w:rsidRDefault="00940015" w:rsidP="00F70070">
      <w:pPr>
        <w:numPr>
          <w:ilvl w:val="2"/>
          <w:numId w:val="12"/>
        </w:numPr>
        <w:jc w:val="both"/>
        <w:rPr>
          <w:rFonts w:eastAsia="MS Mincho"/>
          <w:lang w:eastAsia="ja-JP"/>
        </w:rPr>
      </w:pPr>
      <w:r w:rsidRPr="00940015">
        <w:rPr>
          <w:rFonts w:eastAsia="MS Mincho"/>
          <w:lang w:eastAsia="ja-JP"/>
        </w:rPr>
        <w:t>The ratio of first and second RF bandwidth</w:t>
      </w:r>
    </w:p>
    <w:p w14:paraId="16C8D561" w14:textId="77777777" w:rsidR="00940015" w:rsidRPr="00940015" w:rsidRDefault="00940015" w:rsidP="00F70070">
      <w:pPr>
        <w:numPr>
          <w:ilvl w:val="2"/>
          <w:numId w:val="12"/>
        </w:numPr>
        <w:jc w:val="both"/>
        <w:rPr>
          <w:rFonts w:eastAsia="MS Mincho"/>
          <w:lang w:eastAsia="ja-JP"/>
        </w:rPr>
      </w:pPr>
      <w:r w:rsidRPr="00940015">
        <w:rPr>
          <w:rFonts w:eastAsia="MS Mincho"/>
          <w:lang w:eastAsia="ja-JP"/>
        </w:rPr>
        <w:t>Whether or not first and second RF bandwidth are in the same band</w:t>
      </w:r>
    </w:p>
    <w:p w14:paraId="31AEB83D" w14:textId="77777777" w:rsidR="00940015" w:rsidRPr="00940015" w:rsidRDefault="00940015" w:rsidP="00F70070">
      <w:pPr>
        <w:numPr>
          <w:ilvl w:val="2"/>
          <w:numId w:val="12"/>
        </w:numPr>
        <w:jc w:val="both"/>
        <w:rPr>
          <w:rFonts w:eastAsia="MS Mincho"/>
          <w:color w:val="000000" w:themeColor="text1"/>
          <w:lang w:eastAsia="ja-JP"/>
        </w:rPr>
      </w:pPr>
      <w:r w:rsidRPr="00940015">
        <w:rPr>
          <w:rFonts w:eastAsia="MS Mincho"/>
          <w:color w:val="000000" w:themeColor="text1"/>
          <w:lang w:eastAsia="ja-JP"/>
        </w:rPr>
        <w:t>Dependency of modulation scheme</w:t>
      </w:r>
    </w:p>
    <w:p w14:paraId="7E45E9D9" w14:textId="77777777" w:rsidR="00940015" w:rsidRPr="00940015" w:rsidRDefault="00940015" w:rsidP="00F70070">
      <w:pPr>
        <w:numPr>
          <w:ilvl w:val="2"/>
          <w:numId w:val="12"/>
        </w:numPr>
        <w:jc w:val="both"/>
        <w:rPr>
          <w:rFonts w:eastAsia="MS Mincho"/>
          <w:lang w:eastAsia="ja-JP"/>
        </w:rPr>
      </w:pPr>
      <w:r w:rsidRPr="00940015">
        <w:rPr>
          <w:rFonts w:eastAsia="MS Mincho"/>
          <w:lang w:eastAsia="ja-JP"/>
        </w:rPr>
        <w:t>Whether or not neighbor cell synchronization signals are within first RF bandwidth</w:t>
      </w:r>
    </w:p>
    <w:p w14:paraId="5B292FF4" w14:textId="77777777" w:rsidR="00940015" w:rsidRPr="00940015" w:rsidRDefault="00940015" w:rsidP="00F70070">
      <w:pPr>
        <w:numPr>
          <w:ilvl w:val="2"/>
          <w:numId w:val="12"/>
        </w:numPr>
        <w:jc w:val="both"/>
        <w:rPr>
          <w:rFonts w:eastAsia="MS Mincho"/>
          <w:lang w:eastAsia="ja-JP"/>
        </w:rPr>
      </w:pPr>
      <w:r w:rsidRPr="00940015">
        <w:rPr>
          <w:rFonts w:eastAsia="MS Mincho"/>
          <w:lang w:eastAsia="ja-JP"/>
        </w:rPr>
        <w:lastRenderedPageBreak/>
        <w:t>Whether or not first and/or second RF bandwidth are centered at the same frequency as neighbor cell synchronization signals</w:t>
      </w:r>
    </w:p>
    <w:p w14:paraId="562182E0" w14:textId="77777777" w:rsidR="00940015" w:rsidRPr="00940015" w:rsidRDefault="00940015" w:rsidP="00F70070">
      <w:pPr>
        <w:numPr>
          <w:ilvl w:val="2"/>
          <w:numId w:val="12"/>
        </w:numPr>
        <w:jc w:val="both"/>
        <w:rPr>
          <w:rFonts w:eastAsia="MS Mincho"/>
          <w:color w:val="000000" w:themeColor="text1"/>
          <w:lang w:eastAsia="ja-JP"/>
        </w:rPr>
      </w:pPr>
      <w:r w:rsidRPr="00940015">
        <w:rPr>
          <w:rFonts w:eastAsia="MS Mincho"/>
          <w:color w:val="000000" w:themeColor="text1"/>
          <w:lang w:eastAsia="ja-JP"/>
        </w:rPr>
        <w:t>Whether or not additional reference signals are needed, for example for AGC settling</w:t>
      </w:r>
    </w:p>
    <w:p w14:paraId="3956A994" w14:textId="77777777" w:rsidR="00940015" w:rsidRPr="00940015" w:rsidRDefault="00940015" w:rsidP="00F70070">
      <w:pPr>
        <w:numPr>
          <w:ilvl w:val="2"/>
          <w:numId w:val="12"/>
        </w:numPr>
        <w:jc w:val="both"/>
        <w:rPr>
          <w:rFonts w:eastAsia="MS Mincho"/>
          <w:lang w:eastAsia="ja-JP"/>
        </w:rPr>
      </w:pPr>
      <w:r w:rsidRPr="00940015">
        <w:rPr>
          <w:rFonts w:eastAsia="MS Mincho" w:hint="eastAsia"/>
          <w:lang w:eastAsia="ja-JP"/>
        </w:rPr>
        <w:t>Whether it depends on transmission direction</w:t>
      </w:r>
    </w:p>
    <w:p w14:paraId="4CB4559A" w14:textId="77777777" w:rsidR="00940015" w:rsidRPr="00940015" w:rsidRDefault="00940015" w:rsidP="00F70070">
      <w:pPr>
        <w:numPr>
          <w:ilvl w:val="0"/>
          <w:numId w:val="12"/>
        </w:numPr>
        <w:jc w:val="both"/>
        <w:rPr>
          <w:rFonts w:eastAsia="MS Mincho"/>
          <w:lang w:eastAsia="ja-JP"/>
        </w:rPr>
      </w:pPr>
      <w:r w:rsidRPr="00940015">
        <w:rPr>
          <w:rFonts w:eastAsia="MS Mincho" w:hint="eastAsia"/>
          <w:lang w:eastAsia="ja-JP"/>
        </w:rPr>
        <w:t>LS includes corresponding agreements/WA</w:t>
      </w:r>
      <w:r w:rsidRPr="00940015">
        <w:rPr>
          <w:rFonts w:eastAsia="MS Mincho"/>
          <w:lang w:eastAsia="ja-JP"/>
        </w:rPr>
        <w:t xml:space="preserve"> for DL control</w:t>
      </w:r>
      <w:r w:rsidRPr="00940015">
        <w:rPr>
          <w:rFonts w:eastAsia="MS Mincho" w:hint="eastAsia"/>
          <w:lang w:eastAsia="ja-JP"/>
        </w:rPr>
        <w:t xml:space="preserve"> in past meetings</w:t>
      </w:r>
    </w:p>
    <w:p w14:paraId="3D44CFAF" w14:textId="77777777" w:rsidR="00940015" w:rsidRDefault="00940015" w:rsidP="00F70070">
      <w:pPr>
        <w:numPr>
          <w:ilvl w:val="1"/>
          <w:numId w:val="12"/>
        </w:numPr>
        <w:jc w:val="both"/>
        <w:rPr>
          <w:rFonts w:eastAsia="MS Mincho"/>
          <w:lang w:eastAsia="ja-JP"/>
        </w:rPr>
      </w:pPr>
      <w:r w:rsidRPr="00940015">
        <w:rPr>
          <w:rFonts w:eastAsia="MS Mincho"/>
          <w:lang w:eastAsia="ja-JP"/>
        </w:rPr>
        <w:t>Note: RAN1 is under discussion on RF bandwidth adaptation for DL data and UL control/data</w:t>
      </w:r>
    </w:p>
    <w:p w14:paraId="0BD7E082" w14:textId="77777777" w:rsidR="00BC4DC0" w:rsidRDefault="00BC4DC0" w:rsidP="00F70070">
      <w:pPr>
        <w:jc w:val="both"/>
        <w:rPr>
          <w:rFonts w:eastAsia="MS Mincho"/>
          <w:lang w:eastAsia="ja-JP"/>
        </w:rPr>
      </w:pPr>
    </w:p>
    <w:p w14:paraId="507CCCC4" w14:textId="754B4543" w:rsidR="00C87476" w:rsidRPr="00A1552B" w:rsidRDefault="00C87476" w:rsidP="00C87476">
      <w:pPr>
        <w:jc w:val="both"/>
        <w:rPr>
          <w:rFonts w:eastAsiaTheme="minorEastAsia"/>
          <w:lang w:eastAsia="ko-KR"/>
        </w:rPr>
      </w:pPr>
      <w:r>
        <w:rPr>
          <w:rFonts w:eastAsia="MS Mincho"/>
          <w:lang w:eastAsia="ja-JP"/>
        </w:rPr>
        <w:t xml:space="preserve">This contribution </w:t>
      </w:r>
      <w:r>
        <w:rPr>
          <w:rFonts w:eastAsiaTheme="minorEastAsia" w:hint="eastAsia"/>
          <w:lang w:eastAsia="ko-KR"/>
        </w:rPr>
        <w:t xml:space="preserve">shares, for informative purpose, physical layer </w:t>
      </w:r>
      <w:r>
        <w:rPr>
          <w:rFonts w:eastAsia="MS Mincho"/>
          <w:lang w:eastAsia="ja-JP"/>
        </w:rPr>
        <w:t xml:space="preserve">aspects </w:t>
      </w:r>
      <w:r>
        <w:rPr>
          <w:rFonts w:eastAsiaTheme="minorEastAsia" w:hint="eastAsia"/>
          <w:lang w:eastAsia="ko-KR"/>
        </w:rPr>
        <w:t xml:space="preserve">for </w:t>
      </w:r>
      <w:r>
        <w:rPr>
          <w:rFonts w:eastAsia="MS Mincho"/>
          <w:lang w:eastAsia="ja-JP"/>
        </w:rPr>
        <w:t>configuring various BWs for the single carrier operations in NR.</w:t>
      </w:r>
    </w:p>
    <w:p w14:paraId="5FE432C6" w14:textId="77777777" w:rsidR="00C87476" w:rsidRPr="00C87476" w:rsidRDefault="00C87476" w:rsidP="00F70070">
      <w:pPr>
        <w:jc w:val="both"/>
        <w:rPr>
          <w:rFonts w:eastAsiaTheme="minorEastAsia"/>
          <w:lang w:eastAsia="ko-KR"/>
        </w:rPr>
      </w:pPr>
    </w:p>
    <w:p w14:paraId="145269BB" w14:textId="77777777" w:rsidR="00E06FA8" w:rsidRDefault="00E06FA8" w:rsidP="00F70070">
      <w:pPr>
        <w:pStyle w:val="1"/>
        <w:jc w:val="both"/>
      </w:pPr>
      <w:r>
        <w:t>Discussion</w:t>
      </w:r>
    </w:p>
    <w:p w14:paraId="6ED90FC2" w14:textId="77777777" w:rsidR="00396DAE" w:rsidRDefault="00396DAE" w:rsidP="00F70070">
      <w:pPr>
        <w:pStyle w:val="a0"/>
        <w:tabs>
          <w:tab w:val="left" w:pos="5719"/>
        </w:tabs>
      </w:pPr>
      <w:r>
        <w:t>The following terminology is used in this contribution.</w:t>
      </w:r>
      <w:r>
        <w:tab/>
      </w:r>
    </w:p>
    <w:p w14:paraId="183E85D5" w14:textId="77777777" w:rsidR="00396DAE" w:rsidRDefault="00396DAE" w:rsidP="00F70070">
      <w:pPr>
        <w:pStyle w:val="a0"/>
        <w:tabs>
          <w:tab w:val="left" w:pos="5719"/>
        </w:tabs>
      </w:pPr>
      <w:r w:rsidRPr="00955C96">
        <w:rPr>
          <w:b/>
        </w:rPr>
        <w:t>BW region</w:t>
      </w:r>
      <w:r>
        <w:t xml:space="preserve"> – Size and location of a bandwidth under consideration</w:t>
      </w:r>
    </w:p>
    <w:p w14:paraId="31A0F5B3" w14:textId="77777777" w:rsidR="00396DAE" w:rsidRDefault="00396DAE" w:rsidP="00F70070">
      <w:pPr>
        <w:pStyle w:val="a0"/>
      </w:pPr>
      <w:r w:rsidRPr="008F18ED">
        <w:rPr>
          <w:b/>
        </w:rPr>
        <w:t>Initial Access BW</w:t>
      </w:r>
      <w:r>
        <w:rPr>
          <w:b/>
        </w:rPr>
        <w:t xml:space="preserve"> </w:t>
      </w:r>
      <w:r>
        <w:t>– BW region where UE performs initial measurements and RA procedure-related reception. This is the BW where PSS, SSS and other reference signals (if any) will be transmitted. The BW size is one among 5, 10 or 20 MHz [2].</w:t>
      </w:r>
    </w:p>
    <w:p w14:paraId="06FEAC26" w14:textId="77777777" w:rsidR="00396DAE" w:rsidRPr="00AA64F4" w:rsidRDefault="00396DAE" w:rsidP="00F70070">
      <w:pPr>
        <w:pStyle w:val="a0"/>
      </w:pPr>
      <w:r w:rsidRPr="00B60543">
        <w:rPr>
          <w:b/>
        </w:rPr>
        <w:t>Minimum RRM BW</w:t>
      </w:r>
      <w:r>
        <w:rPr>
          <w:b/>
        </w:rPr>
        <w:t xml:space="preserve"> – </w:t>
      </w:r>
      <w:r w:rsidRPr="00AA64F4">
        <w:t xml:space="preserve">The </w:t>
      </w:r>
      <w:r>
        <w:t>RRM BW region needed by the RRC_IDLE mode UEs</w:t>
      </w:r>
    </w:p>
    <w:p w14:paraId="731ED24B" w14:textId="77777777" w:rsidR="00396DAE" w:rsidRPr="00C03922" w:rsidRDefault="00396DAE" w:rsidP="00F70070">
      <w:pPr>
        <w:pStyle w:val="a0"/>
      </w:pPr>
      <w:r w:rsidRPr="008F18ED">
        <w:rPr>
          <w:b/>
        </w:rPr>
        <w:t>RRM BW</w:t>
      </w:r>
      <w:r>
        <w:t xml:space="preserve"> – This is the BW region an RRC_CONNECTED mode UE monitors for performing RRM measurements (for e.g. handover purposes). The RRM BW can be in the same BW region or in different BW regions across cells. </w:t>
      </w:r>
    </w:p>
    <w:p w14:paraId="007672B3" w14:textId="77777777" w:rsidR="00396DAE" w:rsidRDefault="00396DAE" w:rsidP="00F70070">
      <w:pPr>
        <w:pStyle w:val="a0"/>
      </w:pPr>
      <w:r w:rsidRPr="008F18ED">
        <w:rPr>
          <w:b/>
        </w:rPr>
        <w:t>1</w:t>
      </w:r>
      <w:r w:rsidRPr="008F18ED">
        <w:rPr>
          <w:b/>
          <w:vertAlign w:val="superscript"/>
        </w:rPr>
        <w:t>st</w:t>
      </w:r>
      <w:r w:rsidRPr="008F18ED">
        <w:rPr>
          <w:b/>
        </w:rPr>
        <w:t xml:space="preserve"> RF and 2</w:t>
      </w:r>
      <w:r w:rsidRPr="008F18ED">
        <w:rPr>
          <w:b/>
          <w:vertAlign w:val="superscript"/>
        </w:rPr>
        <w:t>nd</w:t>
      </w:r>
      <w:r w:rsidRPr="008F18ED">
        <w:rPr>
          <w:b/>
        </w:rPr>
        <w:t xml:space="preserve"> RF BW</w:t>
      </w:r>
      <w:r>
        <w:t xml:space="preserve"> – These are UE specific BW regions that can be configured after initial access for connected mode UE’s. While the 1</w:t>
      </w:r>
      <w:r w:rsidRPr="0031605A">
        <w:rPr>
          <w:vertAlign w:val="superscript"/>
        </w:rPr>
        <w:t>st</w:t>
      </w:r>
      <w:r>
        <w:t xml:space="preserve"> RF BW is for NR-PDCCH transmission, the 2</w:t>
      </w:r>
      <w:r w:rsidRPr="0031605A">
        <w:rPr>
          <w:vertAlign w:val="superscript"/>
        </w:rPr>
        <w:t>nd</w:t>
      </w:r>
      <w:r>
        <w:t xml:space="preserve"> RF BW can be used for both NR-PDCCH (if deemed necessary beyond the contents of the 1</w:t>
      </w:r>
      <w:r w:rsidRPr="0030564C">
        <w:rPr>
          <w:vertAlign w:val="superscript"/>
        </w:rPr>
        <w:t>st</w:t>
      </w:r>
      <w:r>
        <w:t xml:space="preserve"> RF BW) and PDSCH transmissions. Other usage cases, such as for CSI-RS, are not precluded. </w:t>
      </w:r>
    </w:p>
    <w:p w14:paraId="5B1ADC6C" w14:textId="77777777" w:rsidR="00396DAE" w:rsidRDefault="00396DAE" w:rsidP="00F70070">
      <w:pPr>
        <w:pStyle w:val="a0"/>
      </w:pPr>
      <w:r w:rsidRPr="00904B6F">
        <w:rPr>
          <w:b/>
        </w:rPr>
        <w:t>BW’s monitored by RRC_IDLE UE:</w:t>
      </w:r>
      <w:r>
        <w:t xml:space="preserve"> Initial Access and Minimum RRM BW</w:t>
      </w:r>
    </w:p>
    <w:p w14:paraId="3086F932" w14:textId="77777777" w:rsidR="00396DAE" w:rsidRDefault="00396DAE" w:rsidP="00F70070">
      <w:pPr>
        <w:pStyle w:val="a0"/>
      </w:pPr>
      <w:r w:rsidRPr="00904B6F">
        <w:rPr>
          <w:b/>
        </w:rPr>
        <w:t>BW’s monitored by RRC_CONNECTED UE:</w:t>
      </w:r>
      <w:r>
        <w:t xml:space="preserve"> RRM BW, 1</w:t>
      </w:r>
      <w:r w:rsidRPr="00893B46">
        <w:rPr>
          <w:vertAlign w:val="superscript"/>
        </w:rPr>
        <w:t>st</w:t>
      </w:r>
      <w:r>
        <w:t xml:space="preserve"> and 2</w:t>
      </w:r>
      <w:r w:rsidRPr="00893B46">
        <w:rPr>
          <w:vertAlign w:val="superscript"/>
        </w:rPr>
        <w:t>nd</w:t>
      </w:r>
      <w:r>
        <w:t xml:space="preserve"> RF BW</w:t>
      </w:r>
    </w:p>
    <w:p w14:paraId="63AD8D91" w14:textId="4512CFED" w:rsidR="009E47A5" w:rsidRDefault="00396DAE" w:rsidP="00F70070">
      <w:pPr>
        <w:pStyle w:val="a0"/>
      </w:pPr>
      <w:r>
        <w:t>In this contribution, we focus mainly on the DL aspects of BW adaptation.</w:t>
      </w:r>
    </w:p>
    <w:p w14:paraId="6199707D" w14:textId="57896E96" w:rsidR="00631F35" w:rsidRDefault="0058388E" w:rsidP="00F70070">
      <w:pPr>
        <w:pStyle w:val="2"/>
        <w:jc w:val="both"/>
      </w:pPr>
      <w:r>
        <w:t>Bandwidths</w:t>
      </w:r>
    </w:p>
    <w:p w14:paraId="17E166FC" w14:textId="7BBBFA81" w:rsidR="000B6A31" w:rsidRDefault="004E0998" w:rsidP="00F70070">
      <w:pPr>
        <w:pStyle w:val="a0"/>
      </w:pPr>
      <w:r>
        <w:t xml:space="preserve">While </w:t>
      </w:r>
      <w:r w:rsidR="00A9188E">
        <w:t xml:space="preserve">NR </w:t>
      </w:r>
      <w:r>
        <w:t>consider</w:t>
      </w:r>
      <w:r w:rsidR="00A9188E">
        <w:t>s communications</w:t>
      </w:r>
      <w:r>
        <w:t xml:space="preserve">, it is not necessary </w:t>
      </w:r>
      <w:r w:rsidR="00AF02DF">
        <w:t xml:space="preserve">for </w:t>
      </w:r>
      <w:r w:rsidR="00A9188E">
        <w:t>a</w:t>
      </w:r>
      <w:r w:rsidR="00AF02DF">
        <w:t xml:space="preserve"> UE </w:t>
      </w:r>
      <w:r>
        <w:t xml:space="preserve">to </w:t>
      </w:r>
      <w:r w:rsidR="00A9188E">
        <w:t xml:space="preserve">always </w:t>
      </w:r>
      <w:r>
        <w:t xml:space="preserve">monitor </w:t>
      </w:r>
      <w:r w:rsidR="00A9188E">
        <w:t>a</w:t>
      </w:r>
      <w:r>
        <w:t xml:space="preserve"> wide </w:t>
      </w:r>
      <w:r w:rsidR="00AF02DF">
        <w:t>BW</w:t>
      </w:r>
      <w:r>
        <w:t xml:space="preserve"> </w:t>
      </w:r>
      <w:r w:rsidR="002C34AA" w:rsidRPr="002A3942">
        <w:t>[2]</w:t>
      </w:r>
      <w:r w:rsidR="00A9188E">
        <w:t xml:space="preserve"> and</w:t>
      </w:r>
      <w:r>
        <w:t xml:space="preserve"> the 1</w:t>
      </w:r>
      <w:r w:rsidR="00A9188E">
        <w:t xml:space="preserve"> </w:t>
      </w:r>
      <w:r>
        <w:t xml:space="preserve">GHz single carrier operation </w:t>
      </w:r>
      <w:r w:rsidR="00A9188E">
        <w:t>can</w:t>
      </w:r>
      <w:r w:rsidR="00914656">
        <w:t xml:space="preserve"> be</w:t>
      </w:r>
      <w:r>
        <w:t xml:space="preserve"> accompanied by the 1</w:t>
      </w:r>
      <w:r w:rsidRPr="00753570">
        <w:rPr>
          <w:vertAlign w:val="superscript"/>
        </w:rPr>
        <w:t>st</w:t>
      </w:r>
      <w:r>
        <w:t xml:space="preserve"> RF and 2</w:t>
      </w:r>
      <w:r w:rsidRPr="00753570">
        <w:rPr>
          <w:vertAlign w:val="superscript"/>
        </w:rPr>
        <w:t>nd</w:t>
      </w:r>
      <w:r>
        <w:t xml:space="preserve"> RF BW operations/configurations</w:t>
      </w:r>
      <w:r w:rsidR="00A41304">
        <w:t xml:space="preserve"> </w:t>
      </w:r>
      <w:r w:rsidR="00A9188E">
        <w:t>to</w:t>
      </w:r>
      <w:r w:rsidR="00A41304">
        <w:t xml:space="preserve"> realiz</w:t>
      </w:r>
      <w:r w:rsidR="00A9188E">
        <w:t>e UE</w:t>
      </w:r>
      <w:r w:rsidR="00A41304">
        <w:t xml:space="preserve"> power savings</w:t>
      </w:r>
      <w:r w:rsidR="00A65EFD">
        <w:t xml:space="preserve"> (a main KPI for NR)</w:t>
      </w:r>
      <w:r>
        <w:t xml:space="preserve">. </w:t>
      </w:r>
      <w:r w:rsidR="00A9188E">
        <w:t>A</w:t>
      </w:r>
      <w:r w:rsidR="000B6A31">
        <w:t xml:space="preserve">spects </w:t>
      </w:r>
      <w:r w:rsidR="00A9188E">
        <w:t>to</w:t>
      </w:r>
      <w:r w:rsidR="000B6A31">
        <w:t xml:space="preserve"> be considered when configuring </w:t>
      </w:r>
      <w:r w:rsidR="00A9188E">
        <w:t>the 1</w:t>
      </w:r>
      <w:r w:rsidR="00A9188E" w:rsidRPr="00753570">
        <w:rPr>
          <w:vertAlign w:val="superscript"/>
        </w:rPr>
        <w:t>st</w:t>
      </w:r>
      <w:r w:rsidR="00A9188E">
        <w:t xml:space="preserve"> RF BW and 2</w:t>
      </w:r>
      <w:r w:rsidR="00A9188E" w:rsidRPr="00753570">
        <w:rPr>
          <w:vertAlign w:val="superscript"/>
        </w:rPr>
        <w:t>nd</w:t>
      </w:r>
      <w:r w:rsidR="00A9188E">
        <w:t xml:space="preserve"> RF BW to a </w:t>
      </w:r>
      <w:r w:rsidR="000B6A31">
        <w:t>UE</w:t>
      </w:r>
      <w:r w:rsidR="00A9188E">
        <w:t xml:space="preserve"> are subsequently </w:t>
      </w:r>
      <w:r w:rsidR="00CC46C4">
        <w:t>discussed</w:t>
      </w:r>
      <w:r w:rsidR="000B6A31">
        <w:t>.</w:t>
      </w:r>
    </w:p>
    <w:p w14:paraId="703BDB41" w14:textId="07A43604" w:rsidR="005963EA" w:rsidRDefault="005963EA" w:rsidP="00F70070">
      <w:pPr>
        <w:pStyle w:val="3"/>
        <w:jc w:val="both"/>
        <w:rPr>
          <w:sz w:val="18"/>
        </w:rPr>
      </w:pPr>
      <w:r>
        <w:rPr>
          <w:sz w:val="18"/>
        </w:rPr>
        <w:t xml:space="preserve">Initial Access and </w:t>
      </w:r>
      <w:r w:rsidR="00E741CD">
        <w:rPr>
          <w:sz w:val="18"/>
        </w:rPr>
        <w:t xml:space="preserve">minimum </w:t>
      </w:r>
      <w:r>
        <w:rPr>
          <w:sz w:val="18"/>
        </w:rPr>
        <w:t>RRM BW</w:t>
      </w:r>
    </w:p>
    <w:p w14:paraId="31E5BA6B" w14:textId="1B4AFA0D" w:rsidR="0061552D" w:rsidRPr="00C64155" w:rsidRDefault="00396DAE" w:rsidP="00F70070">
      <w:pPr>
        <w:jc w:val="both"/>
      </w:pPr>
      <w:r>
        <w:t xml:space="preserve">Initial Access BW region is one where PSS/SSS and other </w:t>
      </w:r>
      <w:r w:rsidRPr="008101DE">
        <w:t>reference signals (if any)</w:t>
      </w:r>
      <w:r>
        <w:t xml:space="preserve"> are present. For above 6 GHz, RS may include beam specific RS that can be used for identifying the best beam during the initial access stage.</w:t>
      </w:r>
      <w:r w:rsidRPr="00D213DB">
        <w:t xml:space="preserve"> </w:t>
      </w:r>
      <w:r w:rsidR="0061552D" w:rsidRPr="00C64155">
        <w:t>All the UE procedures, before dedicated resources are configured, need to be supported in the initial access BW.</w:t>
      </w:r>
    </w:p>
    <w:p w14:paraId="4A995CDF" w14:textId="77777777" w:rsidR="00FE76F1" w:rsidRDefault="0061552D" w:rsidP="00F70070">
      <w:pPr>
        <w:jc w:val="both"/>
      </w:pPr>
      <w:r w:rsidRPr="00C64155">
        <w:t xml:space="preserve">This may include </w:t>
      </w:r>
      <w:r w:rsidR="00F70070">
        <w:t>NR-</w:t>
      </w:r>
      <w:r w:rsidRPr="00C64155">
        <w:t xml:space="preserve">PDCCH and possibly </w:t>
      </w:r>
      <w:r w:rsidR="00F70070">
        <w:t>NR-</w:t>
      </w:r>
      <w:r w:rsidRPr="00C64155">
        <w:t>PDSCH decoding for random access response, connection establishment, system information delivery and paging.</w:t>
      </w:r>
      <w:r w:rsidR="006D51B6" w:rsidRPr="00C64155">
        <w:t xml:space="preserve"> Otherwise, the UE will have to retune its RF frequently and the associated signaling overhead is not neglig</w:t>
      </w:r>
      <w:r w:rsidR="00FF77EA" w:rsidRPr="00C64155">
        <w:t xml:space="preserve">ible either. </w:t>
      </w:r>
      <w:r w:rsidR="004129A5" w:rsidRPr="00C64155">
        <w:t xml:space="preserve">However, </w:t>
      </w:r>
      <w:r w:rsidRPr="00C64155">
        <w:t xml:space="preserve">additional </w:t>
      </w:r>
      <w:r w:rsidR="001913FB">
        <w:t xml:space="preserve">NR- </w:t>
      </w:r>
      <w:r w:rsidRPr="00C64155">
        <w:t>PDSCH resource</w:t>
      </w:r>
      <w:r w:rsidR="004129A5" w:rsidRPr="00C64155">
        <w:t>s</w:t>
      </w:r>
      <w:r w:rsidRPr="00C64155">
        <w:t xml:space="preserve"> outside of the initial access BW </w:t>
      </w:r>
      <w:r w:rsidR="004129A5" w:rsidRPr="00C64155">
        <w:t xml:space="preserve">may be considered </w:t>
      </w:r>
      <w:r w:rsidRPr="00C64155">
        <w:t xml:space="preserve">for </w:t>
      </w:r>
      <w:r w:rsidR="004129A5" w:rsidRPr="00C64155">
        <w:t xml:space="preserve">enhancing the </w:t>
      </w:r>
      <w:r w:rsidRPr="00C64155">
        <w:t xml:space="preserve">system capacity. </w:t>
      </w:r>
      <w:r w:rsidR="004B1A4C" w:rsidRPr="00C64155">
        <w:t>For instance, NR-</w:t>
      </w:r>
      <w:r w:rsidRPr="00C64155">
        <w:t xml:space="preserve">PDCCH in </w:t>
      </w:r>
      <w:r w:rsidR="004B1A4C" w:rsidRPr="00C64155">
        <w:t>the initial access BW indicates</w:t>
      </w:r>
      <w:r w:rsidRPr="00C64155">
        <w:t xml:space="preserve"> </w:t>
      </w:r>
      <w:r w:rsidR="004B1A4C" w:rsidRPr="00C64155">
        <w:t>the NR-</w:t>
      </w:r>
      <w:r w:rsidRPr="00C64155">
        <w:t xml:space="preserve">PDSCH </w:t>
      </w:r>
      <w:r w:rsidR="00870994" w:rsidRPr="00C64155">
        <w:t xml:space="preserve">resources </w:t>
      </w:r>
      <w:r w:rsidRPr="00C64155">
        <w:t xml:space="preserve">outside the initial </w:t>
      </w:r>
      <w:r w:rsidR="00870994" w:rsidRPr="00C64155">
        <w:t xml:space="preserve">access </w:t>
      </w:r>
      <w:r w:rsidR="00361625" w:rsidRPr="00C64155">
        <w:t>BW</w:t>
      </w:r>
      <w:r w:rsidRPr="00C64155">
        <w:t xml:space="preserve">. The RF re-tune time should be taken into account when choosing </w:t>
      </w:r>
      <w:r w:rsidR="008708F7" w:rsidRPr="00C64155">
        <w:t>the NR-</w:t>
      </w:r>
      <w:r w:rsidRPr="00C64155">
        <w:t>PDSCH resource in this case.</w:t>
      </w:r>
      <w:r w:rsidR="00F458B8" w:rsidRPr="00C64155">
        <w:t xml:space="preserve"> </w:t>
      </w:r>
    </w:p>
    <w:p w14:paraId="4B324CCB" w14:textId="77777777" w:rsidR="00FE76F1" w:rsidRDefault="00FE76F1" w:rsidP="00F70070">
      <w:pPr>
        <w:jc w:val="both"/>
      </w:pPr>
    </w:p>
    <w:p w14:paraId="6F184420" w14:textId="2BB08C76" w:rsidR="0061552D" w:rsidRDefault="00DD7AD9" w:rsidP="00F70070">
      <w:pPr>
        <w:jc w:val="both"/>
      </w:pPr>
      <w:r>
        <w:t>A</w:t>
      </w:r>
      <w:r w:rsidR="00F458B8" w:rsidRPr="00C64155">
        <w:t xml:space="preserve"> wide bandwidth allows to support a large number of users and thereby increases the capacity to support a massive number of users</w:t>
      </w:r>
      <w:r w:rsidR="00FD3553">
        <w:t xml:space="preserve"> e.g. paging capacity of the system</w:t>
      </w:r>
      <w:r w:rsidR="00F458B8" w:rsidRPr="00C64155">
        <w:t>. But if the UE monitors such a wide band, the power consumption massively rises due to the hardware complexities (high sampling rate, filters etc.). The issue is also relevant for the case when UEs are required to monitor a PDSCH message that does not contain it’s (a UE’s) own identity</w:t>
      </w:r>
      <w:r w:rsidR="00E1254C">
        <w:t xml:space="preserve"> as in the case of paging</w:t>
      </w:r>
      <w:r w:rsidR="00F458B8" w:rsidRPr="00C64155">
        <w:t xml:space="preserve">. Considering these aspects RAN2 should consider whether there is any requirement for </w:t>
      </w:r>
      <w:r w:rsidR="00061943">
        <w:t>NR-</w:t>
      </w:r>
      <w:r w:rsidR="00F458B8" w:rsidRPr="00C64155">
        <w:t>PDSCH BW to be different from and larger than the NR-PDCCH BW</w:t>
      </w:r>
      <w:r w:rsidR="00D14BE7">
        <w:t xml:space="preserve"> for initial access</w:t>
      </w:r>
      <w:r w:rsidR="00F458B8" w:rsidRPr="00C64155">
        <w:t xml:space="preserve"> purposes.</w:t>
      </w:r>
      <w:r w:rsidR="0061552D">
        <w:t xml:space="preserve"> </w:t>
      </w:r>
    </w:p>
    <w:p w14:paraId="4A0C9ADE" w14:textId="77777777" w:rsidR="00396DAE" w:rsidRDefault="00396DAE" w:rsidP="00F70070">
      <w:pPr>
        <w:jc w:val="both"/>
      </w:pPr>
    </w:p>
    <w:p w14:paraId="609E1F2C" w14:textId="77777777" w:rsidR="00396DAE" w:rsidRDefault="00396DAE" w:rsidP="00F70070">
      <w:pPr>
        <w:jc w:val="both"/>
        <w:rPr>
          <w:rFonts w:cs="v4.2.0"/>
        </w:rPr>
      </w:pPr>
      <w:r>
        <w:lastRenderedPageBreak/>
        <w:t xml:space="preserve">The minimum RRM BW is used for </w:t>
      </w:r>
      <w:r w:rsidRPr="00A90F19">
        <w:rPr>
          <w:rFonts w:cs="v4.2.0"/>
        </w:rPr>
        <w:t>RSRP</w:t>
      </w:r>
      <w:r>
        <w:rPr>
          <w:rFonts w:cs="v4.2.0"/>
        </w:rPr>
        <w:t xml:space="preserve"> and</w:t>
      </w:r>
      <w:r w:rsidRPr="00A90F19">
        <w:rPr>
          <w:rFonts w:cs="v4.2.0"/>
        </w:rPr>
        <w:t xml:space="preserve"> RSRQ measurements</w:t>
      </w:r>
      <w:r>
        <w:rPr>
          <w:rFonts w:cs="v4.2.0"/>
        </w:rPr>
        <w:t xml:space="preserve"> by RRC IDLE mode UEs. As discussed in [3-5], a common RS is preferred for idle and connected modes to enable RSRP/RSRQ measurements. Furthermore, SSS and BRS are preferred as the RS for &lt;6 GHz and &gt;6 GHz respectively for RRM purposes [3-5]. Hence, the minimum RRM BW size is equal to the initial access BW size. Also, an idle mode UE only monitors these BW regions. Overall, a UE must at least monitor and support a UE-minimum bandwidth</w:t>
      </w:r>
      <w:r w:rsidRPr="005D6CA2">
        <w:rPr>
          <w:rFonts w:cs="v4.2.0"/>
          <w:color w:val="FF0000"/>
        </w:rPr>
        <w:t xml:space="preserve"> </w:t>
      </w:r>
      <w:r w:rsidRPr="00C46CBF">
        <w:rPr>
          <w:rFonts w:cs="v4.2.0"/>
        </w:rPr>
        <w:t>e</w:t>
      </w:r>
      <w:r>
        <w:rPr>
          <w:rFonts w:cs="v4.2.0"/>
        </w:rPr>
        <w:t xml:space="preserve">qual to the initial access </w:t>
      </w:r>
      <w:r w:rsidRPr="00176607">
        <w:rPr>
          <w:rFonts w:cs="v4.2.0"/>
        </w:rPr>
        <w:t>bandwidth.</w:t>
      </w:r>
    </w:p>
    <w:p w14:paraId="2D1EC3BC" w14:textId="77777777" w:rsidR="00396DAE" w:rsidRDefault="00396DAE" w:rsidP="00F70070">
      <w:pPr>
        <w:jc w:val="both"/>
        <w:rPr>
          <w:rFonts w:cs="v4.2.0"/>
        </w:rPr>
      </w:pPr>
    </w:p>
    <w:p w14:paraId="1047DA97" w14:textId="77777777" w:rsidR="00396DAE" w:rsidRDefault="00396DAE" w:rsidP="00F70070">
      <w:pPr>
        <w:pStyle w:val="a0"/>
        <w:rPr>
          <w:b/>
        </w:rPr>
      </w:pPr>
      <w:r w:rsidRPr="009665F0">
        <w:rPr>
          <w:b/>
        </w:rPr>
        <w:t>Observation</w:t>
      </w:r>
      <w:r>
        <w:rPr>
          <w:b/>
        </w:rPr>
        <w:t xml:space="preserve"> 1</w:t>
      </w:r>
      <w:r w:rsidRPr="009665F0">
        <w:rPr>
          <w:b/>
        </w:rPr>
        <w:t xml:space="preserve">: </w:t>
      </w:r>
      <w:r>
        <w:rPr>
          <w:b/>
        </w:rPr>
        <w:t xml:space="preserve">minimum RRM BW is equal to the initial access BW. </w:t>
      </w:r>
    </w:p>
    <w:p w14:paraId="2F999DC9" w14:textId="77777777" w:rsidR="00396DAE" w:rsidRDefault="00396DAE" w:rsidP="00F70070">
      <w:pPr>
        <w:pStyle w:val="a0"/>
        <w:rPr>
          <w:b/>
        </w:rPr>
      </w:pPr>
      <w:r>
        <w:rPr>
          <w:b/>
        </w:rPr>
        <w:t xml:space="preserve">Observation 2: The minimum BW for a UE is equal to or larger than the initial access BW. </w:t>
      </w:r>
    </w:p>
    <w:p w14:paraId="09B1EFBC" w14:textId="3346F413" w:rsidR="00395C21" w:rsidRDefault="00396DAE" w:rsidP="00F70070">
      <w:pPr>
        <w:jc w:val="both"/>
      </w:pPr>
      <w:r w:rsidRPr="009665F0">
        <w:rPr>
          <w:b/>
        </w:rPr>
        <w:t>Observation</w:t>
      </w:r>
      <w:r>
        <w:rPr>
          <w:b/>
        </w:rPr>
        <w:t xml:space="preserve"> 3</w:t>
      </w:r>
      <w:r w:rsidRPr="009665F0">
        <w:rPr>
          <w:b/>
        </w:rPr>
        <w:t>:</w:t>
      </w:r>
      <w:r>
        <w:rPr>
          <w:b/>
        </w:rPr>
        <w:t xml:space="preserve"> A RRC Idle mode UE only monitors the initial access BW region.</w:t>
      </w:r>
      <w:r w:rsidR="00EB60A2">
        <w:t xml:space="preserve"> </w:t>
      </w:r>
    </w:p>
    <w:p w14:paraId="60908E3D" w14:textId="77777777" w:rsidR="00473FA8" w:rsidRDefault="00473FA8" w:rsidP="00F70070">
      <w:pPr>
        <w:jc w:val="both"/>
      </w:pPr>
    </w:p>
    <w:p w14:paraId="35DF29F6" w14:textId="6B2E57A6" w:rsidR="00473FA8" w:rsidRDefault="00473FA8" w:rsidP="00F70070">
      <w:pPr>
        <w:jc w:val="both"/>
      </w:pPr>
      <w:r w:rsidRPr="009665F0">
        <w:rPr>
          <w:b/>
        </w:rPr>
        <w:t>Observation</w:t>
      </w:r>
      <w:r>
        <w:rPr>
          <w:b/>
        </w:rPr>
        <w:t xml:space="preserve"> 4</w:t>
      </w:r>
      <w:r w:rsidRPr="009665F0">
        <w:rPr>
          <w:b/>
        </w:rPr>
        <w:t>:</w:t>
      </w:r>
      <w:r>
        <w:rPr>
          <w:b/>
        </w:rPr>
        <w:t xml:space="preserve"> The RF re-tuning time </w:t>
      </w:r>
      <w:r w:rsidR="00303ED9">
        <w:rPr>
          <w:b/>
        </w:rPr>
        <w:t xml:space="preserve">and the associated complexity </w:t>
      </w:r>
      <w:r>
        <w:rPr>
          <w:b/>
        </w:rPr>
        <w:t>must be considered when designing the NR-PDCCH and NR-PDSCH for initial access purposes.</w:t>
      </w:r>
    </w:p>
    <w:p w14:paraId="54ACCE74" w14:textId="77777777" w:rsidR="00395C21" w:rsidRDefault="00395C21" w:rsidP="00F70070">
      <w:pPr>
        <w:jc w:val="both"/>
      </w:pPr>
    </w:p>
    <w:p w14:paraId="2EB5F696" w14:textId="77777777" w:rsidR="002E581A" w:rsidRDefault="002E581A" w:rsidP="00F70070">
      <w:pPr>
        <w:pStyle w:val="3"/>
        <w:jc w:val="both"/>
        <w:rPr>
          <w:sz w:val="18"/>
        </w:rPr>
      </w:pPr>
      <w:r>
        <w:rPr>
          <w:sz w:val="18"/>
        </w:rPr>
        <w:t>RRM BW</w:t>
      </w:r>
    </w:p>
    <w:p w14:paraId="15C19BC8" w14:textId="77777777" w:rsidR="002E581A" w:rsidRDefault="002E581A" w:rsidP="00F70070">
      <w:pPr>
        <w:jc w:val="both"/>
        <w:rPr>
          <w:rFonts w:cs="v4.2.0"/>
        </w:rPr>
      </w:pPr>
      <w:r>
        <w:t>The RRM BW is used by the RRC Connected mode UEs for performing RRM measurements (for e.g. handover purposes). The RRM BW can be a) same as the initial access BW or b) larger than the initial access BW. As discussed in [3-5], SSS and BRS are potential RS to be used for these purposes. When SSS is used the RRM BW is same as the initial access BW. For case (b), t</w:t>
      </w:r>
      <w:r>
        <w:rPr>
          <w:rFonts w:cs="v4.2.0"/>
        </w:rPr>
        <w:t xml:space="preserve">he BRS bandwidth may be configured to be the full BW so that measurement accuracy needs to be higher. Also, the BRS can also be used for connected mode RRM measurement within UE-specific RRM BW. Hence, the RRM BW size is greater than or equal to the initial access BW size. </w:t>
      </w:r>
    </w:p>
    <w:p w14:paraId="3F81FF7A" w14:textId="77777777" w:rsidR="002E581A" w:rsidRDefault="002E581A" w:rsidP="00F70070">
      <w:pPr>
        <w:pStyle w:val="a0"/>
        <w:rPr>
          <w:b/>
        </w:rPr>
      </w:pPr>
    </w:p>
    <w:p w14:paraId="7932D185" w14:textId="4F75B9F8" w:rsidR="002E581A" w:rsidRDefault="002E581A" w:rsidP="00F70070">
      <w:pPr>
        <w:pStyle w:val="a0"/>
        <w:rPr>
          <w:b/>
        </w:rPr>
      </w:pPr>
      <w:r w:rsidRPr="009665F0">
        <w:rPr>
          <w:b/>
        </w:rPr>
        <w:t>Observation</w:t>
      </w:r>
      <w:r>
        <w:rPr>
          <w:b/>
        </w:rPr>
        <w:t xml:space="preserve"> </w:t>
      </w:r>
      <w:r w:rsidR="00303ED9">
        <w:rPr>
          <w:b/>
        </w:rPr>
        <w:t>5</w:t>
      </w:r>
      <w:r w:rsidRPr="009665F0">
        <w:rPr>
          <w:b/>
        </w:rPr>
        <w:t xml:space="preserve">: </w:t>
      </w:r>
      <w:r>
        <w:rPr>
          <w:b/>
        </w:rPr>
        <w:t>RRM BW is equal to or larger than the initial access BW.</w:t>
      </w:r>
    </w:p>
    <w:p w14:paraId="2D9CD23B" w14:textId="77777777" w:rsidR="002E581A" w:rsidRDefault="002E581A" w:rsidP="00F70070">
      <w:pPr>
        <w:pStyle w:val="a0"/>
      </w:pPr>
      <w:r>
        <w:t xml:space="preserve">It is generally desirable to avoid having a UE to re-tune in order to perform inter-cell measurements. This will also require some network coordination where the gNB indicates to UEs the RRM BW for adjacent cells. It is therefore beneficial if RRM measurements are performed over the BW that should preferably be common among cells, at least for the same frequency case. </w:t>
      </w:r>
    </w:p>
    <w:p w14:paraId="2B86D5E6" w14:textId="3DD68EBA" w:rsidR="00C6315E" w:rsidRDefault="00C6315E" w:rsidP="00F70070">
      <w:pPr>
        <w:pStyle w:val="a0"/>
        <w:rPr>
          <w:b/>
        </w:rPr>
      </w:pPr>
      <w:r w:rsidRPr="009665F0">
        <w:rPr>
          <w:b/>
        </w:rPr>
        <w:t>Observation</w:t>
      </w:r>
      <w:r>
        <w:rPr>
          <w:b/>
        </w:rPr>
        <w:t xml:space="preserve"> </w:t>
      </w:r>
      <w:r w:rsidR="00303ED9">
        <w:rPr>
          <w:b/>
        </w:rPr>
        <w:t>6</w:t>
      </w:r>
      <w:r w:rsidRPr="009665F0">
        <w:rPr>
          <w:b/>
        </w:rPr>
        <w:t xml:space="preserve">: </w:t>
      </w:r>
      <w:r>
        <w:rPr>
          <w:b/>
        </w:rPr>
        <w:t>Cell common RRM BW is preferable, at least for the same frequency scenario.</w:t>
      </w:r>
    </w:p>
    <w:p w14:paraId="7EE8989C" w14:textId="41803725" w:rsidR="001208B6" w:rsidRDefault="001208B6" w:rsidP="00F70070">
      <w:pPr>
        <w:pStyle w:val="3"/>
        <w:jc w:val="both"/>
        <w:rPr>
          <w:sz w:val="18"/>
        </w:rPr>
      </w:pPr>
      <w:r w:rsidRPr="00356D93">
        <w:rPr>
          <w:sz w:val="18"/>
        </w:rPr>
        <w:t>1</w:t>
      </w:r>
      <w:r w:rsidRPr="00356D93">
        <w:rPr>
          <w:sz w:val="18"/>
          <w:vertAlign w:val="superscript"/>
        </w:rPr>
        <w:t>st</w:t>
      </w:r>
      <w:r w:rsidRPr="00356D93">
        <w:rPr>
          <w:sz w:val="18"/>
        </w:rPr>
        <w:t xml:space="preserve"> RF BW</w:t>
      </w:r>
    </w:p>
    <w:p w14:paraId="1AC47742" w14:textId="326BB0DF" w:rsidR="00B31D1A" w:rsidRDefault="0097714B" w:rsidP="00F70070">
      <w:pPr>
        <w:jc w:val="both"/>
      </w:pPr>
      <w:r>
        <w:t>As mentioned before, the 1</w:t>
      </w:r>
      <w:r w:rsidRPr="0097714B">
        <w:rPr>
          <w:vertAlign w:val="superscript"/>
        </w:rPr>
        <w:t>st</w:t>
      </w:r>
      <w:r>
        <w:t xml:space="preserve"> RF BW is configured only for </w:t>
      </w:r>
      <w:r w:rsidR="003D7937">
        <w:t>a</w:t>
      </w:r>
      <w:r>
        <w:t xml:space="preserve"> connected mode UE. </w:t>
      </w:r>
      <w:r w:rsidR="00190788">
        <w:t>One issue is whether or not</w:t>
      </w:r>
      <w:r w:rsidR="0031605A">
        <w:t xml:space="preserve"> the 1</w:t>
      </w:r>
      <w:r w:rsidR="0031605A" w:rsidRPr="0031605A">
        <w:rPr>
          <w:vertAlign w:val="superscript"/>
        </w:rPr>
        <w:t>st</w:t>
      </w:r>
      <w:r w:rsidR="00067ED2">
        <w:t xml:space="preserve"> RF BW </w:t>
      </w:r>
      <w:r w:rsidR="00190788">
        <w:t xml:space="preserve">can be </w:t>
      </w:r>
      <w:r w:rsidR="0031605A">
        <w:t>smaller</w:t>
      </w:r>
      <w:r w:rsidR="00452CE5">
        <w:t xml:space="preserve"> than</w:t>
      </w:r>
      <w:r w:rsidR="00067ED2">
        <w:t xml:space="preserve"> the</w:t>
      </w:r>
      <w:r w:rsidR="0031605A">
        <w:t xml:space="preserve"> initial access BW</w:t>
      </w:r>
      <w:r w:rsidR="00190788">
        <w:t>.</w:t>
      </w:r>
      <w:r w:rsidR="0031605A">
        <w:t xml:space="preserve"> </w:t>
      </w:r>
      <w:r w:rsidR="001D7F3B">
        <w:t>Depending on the use cases for the 1</w:t>
      </w:r>
      <w:r w:rsidR="001D7F3B" w:rsidRPr="001D7F3B">
        <w:rPr>
          <w:vertAlign w:val="superscript"/>
        </w:rPr>
        <w:t>st</w:t>
      </w:r>
      <w:r w:rsidR="001D7F3B">
        <w:t xml:space="preserve"> RF BW, its BW values can be defined. </w:t>
      </w:r>
    </w:p>
    <w:p w14:paraId="11AB38FD" w14:textId="77777777" w:rsidR="007D12D7" w:rsidRDefault="007D12D7" w:rsidP="00F70070">
      <w:pPr>
        <w:jc w:val="both"/>
      </w:pPr>
    </w:p>
    <w:p w14:paraId="591A5DD3" w14:textId="686D28C9" w:rsidR="007D12D7" w:rsidRDefault="00190788" w:rsidP="00F70070">
      <w:pPr>
        <w:spacing w:after="60"/>
        <w:jc w:val="both"/>
      </w:pPr>
      <w:r>
        <w:t>T</w:t>
      </w:r>
      <w:r w:rsidR="007D12D7">
        <w:t xml:space="preserve">he following are </w:t>
      </w:r>
      <w:r w:rsidR="004D72B5">
        <w:t xml:space="preserve">some of </w:t>
      </w:r>
      <w:r w:rsidR="007D12D7">
        <w:t xml:space="preserve">the purposes </w:t>
      </w:r>
      <w:r w:rsidR="00725743">
        <w:t>identified for</w:t>
      </w:r>
      <w:r w:rsidR="007D12D7">
        <w:t xml:space="preserve"> the 1</w:t>
      </w:r>
      <w:r w:rsidR="007D12D7" w:rsidRPr="007D12D7">
        <w:rPr>
          <w:vertAlign w:val="superscript"/>
        </w:rPr>
        <w:t>st</w:t>
      </w:r>
      <w:r w:rsidR="007D12D7">
        <w:t xml:space="preserve"> RF BW:</w:t>
      </w:r>
    </w:p>
    <w:p w14:paraId="4C192B89" w14:textId="77777777" w:rsidR="00861693" w:rsidRDefault="00426971" w:rsidP="00F70070">
      <w:pPr>
        <w:pStyle w:val="a8"/>
        <w:numPr>
          <w:ilvl w:val="0"/>
          <w:numId w:val="15"/>
        </w:numPr>
        <w:spacing w:after="60"/>
        <w:jc w:val="both"/>
      </w:pPr>
      <w:r>
        <w:t xml:space="preserve">Monitor the UE common information (for RRC Connected UE’s), </w:t>
      </w:r>
    </w:p>
    <w:p w14:paraId="5DFC37EC" w14:textId="1DDD236D" w:rsidR="00426971" w:rsidRDefault="00861693" w:rsidP="00F70070">
      <w:pPr>
        <w:pStyle w:val="a8"/>
        <w:numPr>
          <w:ilvl w:val="0"/>
          <w:numId w:val="15"/>
        </w:numPr>
        <w:spacing w:after="60"/>
        <w:jc w:val="both"/>
      </w:pPr>
      <w:r>
        <w:t>Monitor the</w:t>
      </w:r>
      <w:r w:rsidR="00426971">
        <w:t xml:space="preserve"> common per-beam information </w:t>
      </w:r>
      <w:r w:rsidR="008D3B04">
        <w:t>in</w:t>
      </w:r>
      <w:r w:rsidR="00426971">
        <w:t xml:space="preserve"> above 6GHz systems</w:t>
      </w:r>
    </w:p>
    <w:p w14:paraId="54704CC8" w14:textId="455E3A18" w:rsidR="0007162C" w:rsidRDefault="00817FE2" w:rsidP="00F70070">
      <w:pPr>
        <w:pStyle w:val="a8"/>
        <w:numPr>
          <w:ilvl w:val="0"/>
          <w:numId w:val="15"/>
        </w:numPr>
        <w:jc w:val="both"/>
      </w:pPr>
      <w:r>
        <w:t>Support</w:t>
      </w:r>
      <w:r w:rsidR="001D0605">
        <w:t xml:space="preserve"> RRM measurements</w:t>
      </w:r>
      <w:r w:rsidR="009875EC">
        <w:t xml:space="preserve"> </w:t>
      </w:r>
      <w:r w:rsidR="001A3EFB" w:rsidRPr="00611500">
        <w:t>(as will be discussed shortly, this is needed if the RRM BW is inside the 1</w:t>
      </w:r>
      <w:r w:rsidR="001A3EFB" w:rsidRPr="00611500">
        <w:rPr>
          <w:vertAlign w:val="superscript"/>
        </w:rPr>
        <w:t>st</w:t>
      </w:r>
      <w:r w:rsidR="001A3EFB" w:rsidRPr="00611500">
        <w:t xml:space="preserve"> RF BW)</w:t>
      </w:r>
    </w:p>
    <w:p w14:paraId="2F76A5E7" w14:textId="228FA12C" w:rsidR="002C08A7" w:rsidRDefault="005C6149" w:rsidP="00F70070">
      <w:pPr>
        <w:jc w:val="both"/>
      </w:pPr>
      <w:r>
        <w:t>Therefore,</w:t>
      </w:r>
      <w:r w:rsidR="006048D6">
        <w:t xml:space="preserve"> t</w:t>
      </w:r>
      <w:r w:rsidR="007A1F02">
        <w:t>he 1</w:t>
      </w:r>
      <w:r w:rsidR="007A1F02" w:rsidRPr="006048D6">
        <w:rPr>
          <w:vertAlign w:val="superscript"/>
        </w:rPr>
        <w:t>st</w:t>
      </w:r>
      <w:r w:rsidR="007A1F02">
        <w:t xml:space="preserve"> RF BW c</w:t>
      </w:r>
      <w:r w:rsidR="00440140">
        <w:t>an</w:t>
      </w:r>
      <w:r w:rsidR="001F3E62">
        <w:t xml:space="preserve"> overlap with </w:t>
      </w:r>
      <w:r w:rsidR="000E1616">
        <w:t xml:space="preserve">the </w:t>
      </w:r>
      <w:r w:rsidR="001F3E62">
        <w:t>RRM BW (or initial access BW)</w:t>
      </w:r>
      <w:r w:rsidR="004803B0">
        <w:t xml:space="preserve"> region</w:t>
      </w:r>
    </w:p>
    <w:p w14:paraId="0F1909CC" w14:textId="735AEEAE" w:rsidR="00567C62" w:rsidRPr="00567C62" w:rsidRDefault="00567C62" w:rsidP="00F70070">
      <w:pPr>
        <w:pStyle w:val="4"/>
        <w:jc w:val="both"/>
        <w:rPr>
          <w:rFonts w:ascii="Arial" w:hAnsi="Arial" w:cs="Arial"/>
          <w:sz w:val="16"/>
          <w:szCs w:val="16"/>
        </w:rPr>
      </w:pPr>
      <w:r w:rsidRPr="00567C62">
        <w:rPr>
          <w:rFonts w:ascii="Arial" w:hAnsi="Arial" w:cs="Arial"/>
          <w:sz w:val="16"/>
          <w:szCs w:val="16"/>
        </w:rPr>
        <w:t>RRM considerations for 1</w:t>
      </w:r>
      <w:r w:rsidRPr="00567C62">
        <w:rPr>
          <w:rFonts w:ascii="Arial" w:hAnsi="Arial" w:cs="Arial"/>
          <w:sz w:val="16"/>
          <w:szCs w:val="16"/>
          <w:vertAlign w:val="superscript"/>
        </w:rPr>
        <w:t>st</w:t>
      </w:r>
      <w:r w:rsidRPr="00567C62">
        <w:rPr>
          <w:rFonts w:ascii="Arial" w:hAnsi="Arial" w:cs="Arial"/>
          <w:sz w:val="16"/>
          <w:szCs w:val="16"/>
        </w:rPr>
        <w:t xml:space="preserve"> RF BW</w:t>
      </w:r>
    </w:p>
    <w:p w14:paraId="52D115A5" w14:textId="77777777" w:rsidR="00E40EA1" w:rsidRDefault="00E40EA1" w:rsidP="00F70070">
      <w:pPr>
        <w:pStyle w:val="a0"/>
      </w:pPr>
      <w:r>
        <w:t>For RRM measurements when a UE is using the 1</w:t>
      </w:r>
      <w:r w:rsidRPr="00DF77EC">
        <w:rPr>
          <w:vertAlign w:val="superscript"/>
        </w:rPr>
        <w:t>st</w:t>
      </w:r>
      <w:r>
        <w:t xml:space="preserve"> RF BW, the following options exist: (i) RRM BW is inside the 1</w:t>
      </w:r>
      <w:r w:rsidRPr="006121EB">
        <w:rPr>
          <w:vertAlign w:val="superscript"/>
        </w:rPr>
        <w:t>st</w:t>
      </w:r>
      <w:r>
        <w:t xml:space="preserve"> RF BW, (ii) RRM BW is separate from the 1</w:t>
      </w:r>
      <w:r w:rsidRPr="006121EB">
        <w:rPr>
          <w:vertAlign w:val="superscript"/>
        </w:rPr>
        <w:t>st</w:t>
      </w:r>
      <w:r>
        <w:t xml:space="preserve"> RF BW, and (iii) new RS inside the 1</w:t>
      </w:r>
      <w:r w:rsidRPr="008E7A9D">
        <w:rPr>
          <w:vertAlign w:val="superscript"/>
        </w:rPr>
        <w:t>st</w:t>
      </w:r>
      <w:r>
        <w:t xml:space="preserve"> RF BW for measurement purposes. </w:t>
      </w:r>
    </w:p>
    <w:p w14:paraId="3A3832D5" w14:textId="77777777" w:rsidR="00E40EA1" w:rsidRDefault="00E40EA1" w:rsidP="00F70070">
      <w:pPr>
        <w:pStyle w:val="a0"/>
      </w:pPr>
      <w:r>
        <w:t>For option (i), the 1</w:t>
      </w:r>
      <w:r w:rsidRPr="009E365C">
        <w:rPr>
          <w:vertAlign w:val="superscript"/>
        </w:rPr>
        <w:t>st</w:t>
      </w:r>
      <w:r>
        <w:t xml:space="preserve"> RF BW of UEs overlaps with the RRM BW that is provided by the network. For example, when the RRM BW spans the entire BW, then there are RRM signals present inside the UE’s 1</w:t>
      </w:r>
      <w:r w:rsidRPr="00FA056B">
        <w:rPr>
          <w:vertAlign w:val="superscript"/>
        </w:rPr>
        <w:t>st</w:t>
      </w:r>
      <w:r>
        <w:t xml:space="preserve"> RF BW that enable the RRM measurements. For these cases i.e., when the RRM BW spans the entire NW BW, then no new configurations need to be taken care by the NW side for configuring the 1</w:t>
      </w:r>
      <w:r w:rsidRPr="00CB0710">
        <w:rPr>
          <w:vertAlign w:val="superscript"/>
        </w:rPr>
        <w:t>st</w:t>
      </w:r>
      <w:r>
        <w:t xml:space="preserve"> RF BW for RRM measurements. However, when the RRM BW is the same as the initial access BW (as mentioned earlier, when SSS is used for RRM measurements, RRM BW is same as initial access BW), then the network has to configure the 1</w:t>
      </w:r>
      <w:r w:rsidRPr="009E365C">
        <w:rPr>
          <w:vertAlign w:val="superscript"/>
        </w:rPr>
        <w:t>st</w:t>
      </w:r>
      <w:r>
        <w:t xml:space="preserve"> RF BW for all UEs to overlap with the RRM BW region which can limit the ability to flexibly configure the 1</w:t>
      </w:r>
      <w:r w:rsidRPr="00C15F42">
        <w:rPr>
          <w:vertAlign w:val="superscript"/>
        </w:rPr>
        <w:t>st</w:t>
      </w:r>
      <w:r>
        <w:t xml:space="preserve"> RF BW to UEs. </w:t>
      </w:r>
    </w:p>
    <w:p w14:paraId="1902F1B1" w14:textId="77777777" w:rsidR="00E40EA1" w:rsidRDefault="00E40EA1" w:rsidP="00F70070">
      <w:pPr>
        <w:pStyle w:val="a0"/>
      </w:pPr>
      <w:r>
        <w:lastRenderedPageBreak/>
        <w:t>For option (ii), the 1</w:t>
      </w:r>
      <w:r w:rsidRPr="009E365C">
        <w:rPr>
          <w:vertAlign w:val="superscript"/>
        </w:rPr>
        <w:t>st</w:t>
      </w:r>
      <w:r>
        <w:t xml:space="preserve"> RF BW is separated from the RRM BW. This case occurs when the RRM BW is same as the initial access BW (SSS is assumed for RRM measurements). In such a setting, the NW can configure measurement gaps while accounting for a re-tuning delay necessary for a UE to switch its RF from 1</w:t>
      </w:r>
      <w:r w:rsidRPr="009E365C">
        <w:rPr>
          <w:vertAlign w:val="superscript"/>
        </w:rPr>
        <w:t>st</w:t>
      </w:r>
      <w:r>
        <w:t xml:space="preserve"> RF BW region to the RRM BW region. This can increase the burden on the NW side and also increases the power consumption at the UE due to this frequent re-tuning.</w:t>
      </w:r>
    </w:p>
    <w:p w14:paraId="20FEE4C0" w14:textId="77777777" w:rsidR="00E40EA1" w:rsidRDefault="00E40EA1" w:rsidP="00F70070">
      <w:pPr>
        <w:pStyle w:val="a0"/>
      </w:pPr>
      <w:r>
        <w:t>For option (iii), UE re-tuning is avoided but the NW needs to provide new RS for measurements (measurement RS) inside each 1</w:t>
      </w:r>
      <w:r w:rsidRPr="00175544">
        <w:rPr>
          <w:vertAlign w:val="superscript"/>
        </w:rPr>
        <w:t>st</w:t>
      </w:r>
      <w:r>
        <w:t xml:space="preserve"> RF BW region. This option increases the signaling overhead. </w:t>
      </w:r>
    </w:p>
    <w:p w14:paraId="6D9A5E3B" w14:textId="77777777" w:rsidR="00E40EA1" w:rsidRPr="00432624" w:rsidRDefault="00E40EA1" w:rsidP="00F70070">
      <w:pPr>
        <w:pStyle w:val="a0"/>
      </w:pPr>
      <w:r w:rsidRPr="00432624">
        <w:t xml:space="preserve">Considering the above options and </w:t>
      </w:r>
      <w:r>
        <w:t xml:space="preserve">associated </w:t>
      </w:r>
      <w:r w:rsidRPr="00432624">
        <w:t xml:space="preserve">tradeoffs, </w:t>
      </w:r>
      <w:r>
        <w:t xml:space="preserve">option (iii) seems least favorable considering the signaling overhead. Considering the fact that option (ii)-type configuration is already supported in LTE (e.g. for eMTC), the gNB can decide to either support option (i) or option (ii). </w:t>
      </w:r>
    </w:p>
    <w:p w14:paraId="561DFE62" w14:textId="422191B7" w:rsidR="00E40EA1" w:rsidRDefault="00E40EA1" w:rsidP="00F70070">
      <w:pPr>
        <w:pStyle w:val="a0"/>
        <w:rPr>
          <w:b/>
        </w:rPr>
      </w:pPr>
      <w:r w:rsidRPr="009665F0">
        <w:rPr>
          <w:b/>
        </w:rPr>
        <w:t>Observation</w:t>
      </w:r>
      <w:r>
        <w:rPr>
          <w:b/>
        </w:rPr>
        <w:t xml:space="preserve"> </w:t>
      </w:r>
      <w:r w:rsidR="0015749E">
        <w:rPr>
          <w:b/>
        </w:rPr>
        <w:t>7</w:t>
      </w:r>
      <w:r w:rsidRPr="009665F0">
        <w:rPr>
          <w:b/>
        </w:rPr>
        <w:t xml:space="preserve">: </w:t>
      </w:r>
      <w:r>
        <w:rPr>
          <w:b/>
        </w:rPr>
        <w:t>RRM BW inside the 1</w:t>
      </w:r>
      <w:r w:rsidRPr="00901577">
        <w:rPr>
          <w:b/>
          <w:vertAlign w:val="superscript"/>
        </w:rPr>
        <w:t>st</w:t>
      </w:r>
      <w:r>
        <w:rPr>
          <w:b/>
        </w:rPr>
        <w:t xml:space="preserve"> RF BW or separate from the 1</w:t>
      </w:r>
      <w:r w:rsidRPr="00901577">
        <w:rPr>
          <w:b/>
          <w:vertAlign w:val="superscript"/>
        </w:rPr>
        <w:t>st</w:t>
      </w:r>
      <w:r>
        <w:rPr>
          <w:b/>
        </w:rPr>
        <w:t xml:space="preserve"> RF BW with support of UE retuning </w:t>
      </w:r>
      <w:r w:rsidR="000378C6">
        <w:rPr>
          <w:rFonts w:eastAsiaTheme="minorEastAsia" w:hint="eastAsia"/>
          <w:b/>
          <w:lang w:eastAsia="ko-KR"/>
        </w:rPr>
        <w:t>is</w:t>
      </w:r>
      <w:bookmarkStart w:id="0" w:name="_GoBack"/>
      <w:bookmarkEnd w:id="0"/>
      <w:r>
        <w:rPr>
          <w:b/>
        </w:rPr>
        <w:t xml:space="preserve"> viable options for a network to select. </w:t>
      </w:r>
    </w:p>
    <w:p w14:paraId="57B4E6AB" w14:textId="77777777" w:rsidR="00E40EA1" w:rsidRPr="00080681" w:rsidRDefault="00E40EA1" w:rsidP="00F70070">
      <w:pPr>
        <w:pStyle w:val="a0"/>
      </w:pPr>
      <w:r>
        <w:t>Neighbor cell RRM signals may not be transmitted in the same BW as the ones for the serving cell. Hence, it is not necessary that the neighbor cell RRM BW falls within the 1</w:t>
      </w:r>
      <w:r w:rsidRPr="00080681">
        <w:rPr>
          <w:vertAlign w:val="superscript"/>
        </w:rPr>
        <w:t>st</w:t>
      </w:r>
      <w:r>
        <w:t xml:space="preserve"> RF BW for a UE and in such case, for inter cell measurements, the UE may need to re-tune during measurement gaps [5]. Depending on the input from RAN4 for the re-tuning timelines (both inter-carrier and intra-carrier), appropriate configurations for the 1</w:t>
      </w:r>
      <w:r w:rsidRPr="0018195D">
        <w:rPr>
          <w:vertAlign w:val="superscript"/>
        </w:rPr>
        <w:t>st</w:t>
      </w:r>
      <w:r>
        <w:t xml:space="preserve"> and 2</w:t>
      </w:r>
      <w:r w:rsidRPr="0018195D">
        <w:rPr>
          <w:vertAlign w:val="superscript"/>
        </w:rPr>
        <w:t>nd</w:t>
      </w:r>
      <w:r>
        <w:t xml:space="preserve"> RF BW can be designed.</w:t>
      </w:r>
      <w:r w:rsidRPr="002F5E1B">
        <w:rPr>
          <w:color w:val="FF0000"/>
        </w:rPr>
        <w:t xml:space="preserve"> </w:t>
      </w:r>
    </w:p>
    <w:p w14:paraId="52020BA1" w14:textId="739B15A4" w:rsidR="00E40EA1" w:rsidRDefault="00E40EA1" w:rsidP="00F70070">
      <w:pPr>
        <w:pStyle w:val="a0"/>
        <w:rPr>
          <w:b/>
        </w:rPr>
      </w:pPr>
      <w:r w:rsidRPr="009665F0">
        <w:rPr>
          <w:b/>
        </w:rPr>
        <w:t>Observation</w:t>
      </w:r>
      <w:r>
        <w:rPr>
          <w:b/>
        </w:rPr>
        <w:t xml:space="preserve"> </w:t>
      </w:r>
      <w:r w:rsidR="0015749E">
        <w:rPr>
          <w:b/>
        </w:rPr>
        <w:t>8</w:t>
      </w:r>
      <w:r w:rsidRPr="009665F0">
        <w:rPr>
          <w:b/>
        </w:rPr>
        <w:t xml:space="preserve">: </w:t>
      </w:r>
      <w:r>
        <w:rPr>
          <w:b/>
        </w:rPr>
        <w:t>The 1</w:t>
      </w:r>
      <w:r w:rsidRPr="00664279">
        <w:rPr>
          <w:b/>
          <w:vertAlign w:val="superscript"/>
        </w:rPr>
        <w:t>st</w:t>
      </w:r>
      <w:r>
        <w:rPr>
          <w:b/>
        </w:rPr>
        <w:t xml:space="preserve"> RF BW for a UE need not be mandated to include RRM BWs for all neighbor cells. </w:t>
      </w:r>
    </w:p>
    <w:p w14:paraId="60E19561" w14:textId="7A690881" w:rsidR="00E21BC0" w:rsidRDefault="00E40EA1" w:rsidP="00F70070">
      <w:pPr>
        <w:pStyle w:val="a0"/>
        <w:rPr>
          <w:b/>
        </w:rPr>
      </w:pPr>
      <w:r>
        <w:rPr>
          <w:b/>
        </w:rPr>
        <w:t xml:space="preserve">Observation </w:t>
      </w:r>
      <w:r w:rsidR="0015749E">
        <w:rPr>
          <w:b/>
        </w:rPr>
        <w:t>9</w:t>
      </w:r>
      <w:r>
        <w:rPr>
          <w:b/>
        </w:rPr>
        <w:t>: Depending on whether or not the neighbor cell RRM BW is within the 1</w:t>
      </w:r>
      <w:r w:rsidRPr="0009772C">
        <w:rPr>
          <w:b/>
          <w:vertAlign w:val="superscript"/>
        </w:rPr>
        <w:t>st</w:t>
      </w:r>
      <w:r>
        <w:rPr>
          <w:b/>
        </w:rPr>
        <w:t xml:space="preserve"> RF BW, measurement gaps need to consider RF re-tuning time.</w:t>
      </w:r>
    </w:p>
    <w:p w14:paraId="3546F9C4" w14:textId="31384890" w:rsidR="001208B6" w:rsidRPr="00356D93" w:rsidRDefault="00EE7DC7" w:rsidP="00F70070">
      <w:pPr>
        <w:pStyle w:val="3"/>
        <w:jc w:val="both"/>
        <w:rPr>
          <w:sz w:val="18"/>
        </w:rPr>
      </w:pPr>
      <w:r w:rsidRPr="00356D93">
        <w:rPr>
          <w:sz w:val="18"/>
        </w:rPr>
        <w:t>2</w:t>
      </w:r>
      <w:r w:rsidRPr="00356D93">
        <w:rPr>
          <w:sz w:val="18"/>
          <w:vertAlign w:val="superscript"/>
        </w:rPr>
        <w:t>nd</w:t>
      </w:r>
      <w:r w:rsidRPr="00356D93">
        <w:rPr>
          <w:sz w:val="18"/>
        </w:rPr>
        <w:t xml:space="preserve"> RF BW</w:t>
      </w:r>
    </w:p>
    <w:p w14:paraId="3DA0FFE4" w14:textId="5D98A6C8" w:rsidR="00B37910" w:rsidRPr="00B37910" w:rsidRDefault="00092E0F" w:rsidP="00F70070">
      <w:pPr>
        <w:pStyle w:val="a0"/>
      </w:pPr>
      <w:r>
        <w:t>Just like the case of 1st RF BW, the measurement gaps need to account for the time durations needed for re-tuning (if needed, for example in inter-carrier cases) when the UE operates in the 2nd RF BW.</w:t>
      </w:r>
    </w:p>
    <w:p w14:paraId="7D43A69A" w14:textId="148DD56F" w:rsidR="006413BD" w:rsidRPr="00B63895" w:rsidRDefault="00B70D3D" w:rsidP="00F70070">
      <w:pPr>
        <w:pStyle w:val="a0"/>
      </w:pPr>
      <w:r w:rsidRPr="00B63895">
        <w:t>The measurement gaps for RRM purposes must be set considering all t</w:t>
      </w:r>
      <w:r w:rsidR="0069433F" w:rsidRPr="00B63895">
        <w:t>hese aspects into consideration specifically whether the RRM BW is within the 1</w:t>
      </w:r>
      <w:r w:rsidR="0069433F" w:rsidRPr="00B63895">
        <w:rPr>
          <w:vertAlign w:val="superscript"/>
        </w:rPr>
        <w:t>st</w:t>
      </w:r>
      <w:r w:rsidR="0069433F" w:rsidRPr="00B63895">
        <w:t xml:space="preserve"> RF or 2</w:t>
      </w:r>
      <w:r w:rsidR="0069433F" w:rsidRPr="00B63895">
        <w:rPr>
          <w:vertAlign w:val="superscript"/>
        </w:rPr>
        <w:t>nd</w:t>
      </w:r>
      <w:r w:rsidR="0069433F" w:rsidRPr="00B63895">
        <w:t xml:space="preserve"> RF BW or not even in the case of intra-frequency measurement.</w:t>
      </w:r>
    </w:p>
    <w:p w14:paraId="5C6FF66E" w14:textId="161DFA3A" w:rsidR="003D6275" w:rsidRDefault="006413BD" w:rsidP="00F70070">
      <w:pPr>
        <w:pStyle w:val="a0"/>
        <w:rPr>
          <w:rFonts w:eastAsiaTheme="minorEastAsia"/>
          <w:b/>
          <w:lang w:eastAsia="ko-KR"/>
        </w:rPr>
      </w:pPr>
      <w:r w:rsidRPr="00B63895">
        <w:rPr>
          <w:b/>
        </w:rPr>
        <w:t xml:space="preserve">Observation </w:t>
      </w:r>
      <w:r w:rsidR="001C2519">
        <w:rPr>
          <w:b/>
        </w:rPr>
        <w:t>1</w:t>
      </w:r>
      <w:r w:rsidR="00750FD3">
        <w:rPr>
          <w:rFonts w:eastAsiaTheme="minorEastAsia" w:hint="eastAsia"/>
          <w:b/>
          <w:lang w:eastAsia="ko-KR"/>
        </w:rPr>
        <w:t>0</w:t>
      </w:r>
      <w:r w:rsidRPr="00B63895">
        <w:rPr>
          <w:b/>
        </w:rPr>
        <w:t xml:space="preserve">: </w:t>
      </w:r>
      <w:r w:rsidR="0069433F" w:rsidRPr="00B63895">
        <w:rPr>
          <w:b/>
        </w:rPr>
        <w:t>Different from LTE, t</w:t>
      </w:r>
      <w:r w:rsidR="00097706" w:rsidRPr="00B63895">
        <w:rPr>
          <w:b/>
        </w:rPr>
        <w:t>he measurement gap settings</w:t>
      </w:r>
      <w:r w:rsidR="000C78D5" w:rsidRPr="00B63895">
        <w:rPr>
          <w:b/>
        </w:rPr>
        <w:t xml:space="preserve"> in NR</w:t>
      </w:r>
      <w:r w:rsidR="00097706" w:rsidRPr="00B63895">
        <w:rPr>
          <w:b/>
        </w:rPr>
        <w:t xml:space="preserve"> should be based on the RRM BW configurations </w:t>
      </w:r>
      <w:r w:rsidR="0069433F" w:rsidRPr="00B63895">
        <w:rPr>
          <w:b/>
        </w:rPr>
        <w:t>and the 1</w:t>
      </w:r>
      <w:r w:rsidR="0069433F" w:rsidRPr="00B63895">
        <w:rPr>
          <w:b/>
          <w:vertAlign w:val="superscript"/>
        </w:rPr>
        <w:t>st</w:t>
      </w:r>
      <w:r w:rsidR="0069433F" w:rsidRPr="00B63895">
        <w:rPr>
          <w:b/>
        </w:rPr>
        <w:t>, 2</w:t>
      </w:r>
      <w:r w:rsidR="0069433F" w:rsidRPr="00B63895">
        <w:rPr>
          <w:b/>
          <w:vertAlign w:val="superscript"/>
        </w:rPr>
        <w:t>nd</w:t>
      </w:r>
      <w:r w:rsidR="0069433F" w:rsidRPr="00B63895">
        <w:rPr>
          <w:b/>
        </w:rPr>
        <w:t xml:space="preserve"> RF BW configurations even in the case of intra-frequency measurements.</w:t>
      </w:r>
      <w:r w:rsidR="00097706">
        <w:rPr>
          <w:b/>
        </w:rPr>
        <w:t xml:space="preserve"> </w:t>
      </w:r>
    </w:p>
    <w:p w14:paraId="01CA4379" w14:textId="77777777" w:rsidR="00A1552B" w:rsidRDefault="00A1552B" w:rsidP="00F70070">
      <w:pPr>
        <w:pStyle w:val="a0"/>
        <w:rPr>
          <w:rFonts w:eastAsiaTheme="minorEastAsia"/>
          <w:b/>
          <w:lang w:eastAsia="ko-KR"/>
        </w:rPr>
      </w:pPr>
    </w:p>
    <w:p w14:paraId="478B2BE8" w14:textId="6AA2A5A7" w:rsidR="00A1552B" w:rsidRPr="00A1552B" w:rsidRDefault="00A1552B" w:rsidP="00F70070">
      <w:pPr>
        <w:pStyle w:val="a0"/>
        <w:rPr>
          <w:rFonts w:eastAsiaTheme="minorEastAsia"/>
          <w:b/>
          <w:lang w:eastAsia="ko-KR"/>
        </w:rPr>
      </w:pPr>
      <w:r>
        <w:rPr>
          <w:rFonts w:eastAsiaTheme="minorEastAsia" w:hint="eastAsia"/>
          <w:b/>
          <w:lang w:eastAsia="ko-KR"/>
        </w:rPr>
        <w:t xml:space="preserve">Proposal 1: </w:t>
      </w:r>
      <w:r w:rsidRPr="00A1552B">
        <w:rPr>
          <w:rFonts w:eastAsiaTheme="minorEastAsia"/>
          <w:b/>
          <w:lang w:eastAsia="ko-KR"/>
        </w:rPr>
        <w:t>RAN2 take</w:t>
      </w:r>
      <w:r>
        <w:rPr>
          <w:rFonts w:eastAsiaTheme="minorEastAsia" w:hint="eastAsia"/>
          <w:b/>
          <w:lang w:eastAsia="ko-KR"/>
        </w:rPr>
        <w:t>s</w:t>
      </w:r>
      <w:r w:rsidRPr="00A1552B">
        <w:rPr>
          <w:rFonts w:eastAsiaTheme="minorEastAsia"/>
          <w:b/>
          <w:lang w:eastAsia="ko-KR"/>
        </w:rPr>
        <w:t xml:space="preserve"> into account single carrier wideband operation when designing radio interface protocols</w:t>
      </w:r>
      <w:r>
        <w:rPr>
          <w:rFonts w:eastAsiaTheme="minorEastAsia" w:hint="eastAsia"/>
          <w:b/>
          <w:lang w:eastAsia="ko-KR"/>
        </w:rPr>
        <w:t>.</w:t>
      </w:r>
    </w:p>
    <w:p w14:paraId="2F95D110" w14:textId="77777777" w:rsidR="00325D7A" w:rsidRDefault="00325D7A" w:rsidP="00F70070">
      <w:pPr>
        <w:pStyle w:val="1"/>
        <w:jc w:val="both"/>
      </w:pPr>
      <w:r>
        <w:t>Summary</w:t>
      </w:r>
    </w:p>
    <w:p w14:paraId="21821055" w14:textId="78B50421" w:rsidR="00904D1E" w:rsidRDefault="00C86113" w:rsidP="00F70070">
      <w:pPr>
        <w:pStyle w:val="a0"/>
      </w:pPr>
      <w:r w:rsidRPr="00C86113">
        <w:t>In this contribution</w:t>
      </w:r>
      <w:r>
        <w:t>, we discussed various aspects about supporting wider BW for NR</w:t>
      </w:r>
      <w:r w:rsidR="00D24B65">
        <w:t xml:space="preserve"> and the following observations/proposals are made </w:t>
      </w:r>
      <w:r w:rsidR="005B597A">
        <w:t>–</w:t>
      </w:r>
      <w:r w:rsidR="00D24B65">
        <w:t xml:space="preserve"> </w:t>
      </w:r>
    </w:p>
    <w:p w14:paraId="35996C53" w14:textId="77777777" w:rsidR="00A1552B" w:rsidRDefault="00A1552B" w:rsidP="000C773C">
      <w:pPr>
        <w:pStyle w:val="a0"/>
        <w:rPr>
          <w:rFonts w:eastAsiaTheme="minorEastAsia"/>
          <w:b/>
          <w:lang w:eastAsia="ko-KR"/>
        </w:rPr>
      </w:pPr>
    </w:p>
    <w:p w14:paraId="18792E57" w14:textId="77777777" w:rsidR="00A1552B" w:rsidRPr="00A1552B" w:rsidRDefault="00A1552B" w:rsidP="00A1552B">
      <w:pPr>
        <w:pStyle w:val="a0"/>
        <w:rPr>
          <w:rFonts w:eastAsiaTheme="minorEastAsia"/>
          <w:b/>
          <w:lang w:eastAsia="ko-KR"/>
        </w:rPr>
      </w:pPr>
      <w:r>
        <w:rPr>
          <w:rFonts w:eastAsiaTheme="minorEastAsia" w:hint="eastAsia"/>
          <w:b/>
          <w:lang w:eastAsia="ko-KR"/>
        </w:rPr>
        <w:t xml:space="preserve">Proposal 1: </w:t>
      </w:r>
      <w:r w:rsidRPr="00A1552B">
        <w:rPr>
          <w:rFonts w:eastAsiaTheme="minorEastAsia"/>
          <w:b/>
          <w:lang w:eastAsia="ko-KR"/>
        </w:rPr>
        <w:t>RAN2 take</w:t>
      </w:r>
      <w:r>
        <w:rPr>
          <w:rFonts w:eastAsiaTheme="minorEastAsia" w:hint="eastAsia"/>
          <w:b/>
          <w:lang w:eastAsia="ko-KR"/>
        </w:rPr>
        <w:t>s</w:t>
      </w:r>
      <w:r w:rsidRPr="00A1552B">
        <w:rPr>
          <w:rFonts w:eastAsiaTheme="minorEastAsia"/>
          <w:b/>
          <w:lang w:eastAsia="ko-KR"/>
        </w:rPr>
        <w:t xml:space="preserve"> into account single carrier wideband operation when designing radio interface protocols</w:t>
      </w:r>
      <w:r>
        <w:rPr>
          <w:rFonts w:eastAsiaTheme="minorEastAsia" w:hint="eastAsia"/>
          <w:b/>
          <w:lang w:eastAsia="ko-KR"/>
        </w:rPr>
        <w:t>.</w:t>
      </w:r>
    </w:p>
    <w:p w14:paraId="59DD74FC" w14:textId="77777777" w:rsidR="00A1552B" w:rsidRDefault="00A1552B" w:rsidP="000C773C">
      <w:pPr>
        <w:pStyle w:val="a0"/>
        <w:rPr>
          <w:rFonts w:eastAsiaTheme="minorEastAsia"/>
          <w:b/>
          <w:lang w:eastAsia="ko-KR"/>
        </w:rPr>
      </w:pPr>
    </w:p>
    <w:p w14:paraId="235D627F" w14:textId="77777777" w:rsidR="000C773C" w:rsidRDefault="000C773C" w:rsidP="000C773C">
      <w:pPr>
        <w:pStyle w:val="a0"/>
        <w:rPr>
          <w:b/>
        </w:rPr>
      </w:pPr>
      <w:r w:rsidRPr="009665F0">
        <w:rPr>
          <w:b/>
        </w:rPr>
        <w:t>Observation</w:t>
      </w:r>
      <w:r>
        <w:rPr>
          <w:b/>
        </w:rPr>
        <w:t xml:space="preserve"> 1</w:t>
      </w:r>
      <w:r w:rsidRPr="009665F0">
        <w:rPr>
          <w:b/>
        </w:rPr>
        <w:t xml:space="preserve">: </w:t>
      </w:r>
      <w:r>
        <w:rPr>
          <w:b/>
        </w:rPr>
        <w:t xml:space="preserve">minimum RRM BW is equal to the initial access BW. </w:t>
      </w:r>
    </w:p>
    <w:p w14:paraId="509877EE" w14:textId="77777777" w:rsidR="000C773C" w:rsidRDefault="000C773C" w:rsidP="000C773C">
      <w:pPr>
        <w:pStyle w:val="a0"/>
        <w:rPr>
          <w:b/>
        </w:rPr>
      </w:pPr>
      <w:r>
        <w:rPr>
          <w:b/>
        </w:rPr>
        <w:t xml:space="preserve">Observation 2: The minimum BW for a UE is equal to or larger than the initial access BW. </w:t>
      </w:r>
    </w:p>
    <w:p w14:paraId="4E6B2D6A" w14:textId="043DBE7B" w:rsidR="002B3764" w:rsidRDefault="000C773C" w:rsidP="000C773C">
      <w:pPr>
        <w:pStyle w:val="a0"/>
        <w:rPr>
          <w:b/>
        </w:rPr>
      </w:pPr>
      <w:r w:rsidRPr="009665F0">
        <w:rPr>
          <w:b/>
        </w:rPr>
        <w:t>Observation</w:t>
      </w:r>
      <w:r>
        <w:rPr>
          <w:b/>
        </w:rPr>
        <w:t xml:space="preserve"> 3</w:t>
      </w:r>
      <w:r w:rsidRPr="009665F0">
        <w:rPr>
          <w:b/>
        </w:rPr>
        <w:t>:</w:t>
      </w:r>
      <w:r>
        <w:rPr>
          <w:b/>
        </w:rPr>
        <w:t xml:space="preserve"> A RRC Idle mode UE only monitors the initial access BW region.</w:t>
      </w:r>
    </w:p>
    <w:p w14:paraId="7F554049" w14:textId="77777777" w:rsidR="0015749E" w:rsidRDefault="0015749E" w:rsidP="0015749E">
      <w:pPr>
        <w:jc w:val="both"/>
      </w:pPr>
      <w:r w:rsidRPr="009665F0">
        <w:rPr>
          <w:b/>
        </w:rPr>
        <w:t>Observation</w:t>
      </w:r>
      <w:r>
        <w:rPr>
          <w:b/>
        </w:rPr>
        <w:t xml:space="preserve"> 4</w:t>
      </w:r>
      <w:r w:rsidRPr="009665F0">
        <w:rPr>
          <w:b/>
        </w:rPr>
        <w:t>:</w:t>
      </w:r>
      <w:r>
        <w:rPr>
          <w:b/>
        </w:rPr>
        <w:t xml:space="preserve"> The RF re-tuning time and the associated complexity must be considered when designing the NR-PDCCH and NR-PDSCH for initial access purposes.</w:t>
      </w:r>
    </w:p>
    <w:p w14:paraId="04901F91" w14:textId="77777777" w:rsidR="0015749E" w:rsidRDefault="0015749E" w:rsidP="000C773C">
      <w:pPr>
        <w:pStyle w:val="a0"/>
        <w:rPr>
          <w:b/>
        </w:rPr>
      </w:pPr>
    </w:p>
    <w:p w14:paraId="4D05ADE0" w14:textId="311369E9" w:rsidR="000C773C" w:rsidRDefault="000C773C" w:rsidP="000C773C">
      <w:pPr>
        <w:pStyle w:val="a0"/>
        <w:rPr>
          <w:b/>
        </w:rPr>
      </w:pPr>
      <w:r w:rsidRPr="009665F0">
        <w:rPr>
          <w:b/>
        </w:rPr>
        <w:t>Observation</w:t>
      </w:r>
      <w:r>
        <w:rPr>
          <w:b/>
        </w:rPr>
        <w:t xml:space="preserve"> </w:t>
      </w:r>
      <w:r w:rsidR="0015749E">
        <w:rPr>
          <w:b/>
        </w:rPr>
        <w:t>5</w:t>
      </w:r>
      <w:r w:rsidRPr="009665F0">
        <w:rPr>
          <w:b/>
        </w:rPr>
        <w:t xml:space="preserve">: </w:t>
      </w:r>
      <w:r>
        <w:rPr>
          <w:b/>
        </w:rPr>
        <w:t>RRM BW is equal to or larger than the initial access BW.</w:t>
      </w:r>
    </w:p>
    <w:p w14:paraId="02E01371" w14:textId="41FE7DA4" w:rsidR="000C773C" w:rsidRDefault="000C773C" w:rsidP="000C773C">
      <w:pPr>
        <w:pStyle w:val="a0"/>
        <w:rPr>
          <w:b/>
        </w:rPr>
      </w:pPr>
      <w:r w:rsidRPr="009665F0">
        <w:rPr>
          <w:b/>
        </w:rPr>
        <w:t>Observation</w:t>
      </w:r>
      <w:r>
        <w:rPr>
          <w:b/>
        </w:rPr>
        <w:t xml:space="preserve"> </w:t>
      </w:r>
      <w:r w:rsidR="0015749E">
        <w:rPr>
          <w:b/>
        </w:rPr>
        <w:t>6</w:t>
      </w:r>
      <w:r w:rsidRPr="009665F0">
        <w:rPr>
          <w:b/>
        </w:rPr>
        <w:t xml:space="preserve">: </w:t>
      </w:r>
      <w:r>
        <w:rPr>
          <w:b/>
        </w:rPr>
        <w:t>Cell common RRM BW is preferable, at least for the same frequency scenario.</w:t>
      </w:r>
    </w:p>
    <w:p w14:paraId="170DFBB5" w14:textId="476A82B5" w:rsidR="000C773C" w:rsidRDefault="000C773C" w:rsidP="000C773C">
      <w:pPr>
        <w:pStyle w:val="a0"/>
        <w:rPr>
          <w:b/>
        </w:rPr>
      </w:pPr>
      <w:r w:rsidRPr="009665F0">
        <w:rPr>
          <w:b/>
        </w:rPr>
        <w:lastRenderedPageBreak/>
        <w:t>Observation</w:t>
      </w:r>
      <w:r>
        <w:rPr>
          <w:b/>
        </w:rPr>
        <w:t xml:space="preserve"> </w:t>
      </w:r>
      <w:r w:rsidR="0015749E">
        <w:rPr>
          <w:b/>
        </w:rPr>
        <w:t>7</w:t>
      </w:r>
      <w:r w:rsidRPr="009665F0">
        <w:rPr>
          <w:b/>
        </w:rPr>
        <w:t xml:space="preserve">: </w:t>
      </w:r>
      <w:r>
        <w:rPr>
          <w:b/>
        </w:rPr>
        <w:t>RRM BW inside the 1</w:t>
      </w:r>
      <w:r w:rsidRPr="00901577">
        <w:rPr>
          <w:b/>
          <w:vertAlign w:val="superscript"/>
        </w:rPr>
        <w:t>st</w:t>
      </w:r>
      <w:r>
        <w:rPr>
          <w:b/>
        </w:rPr>
        <w:t xml:space="preserve"> RF BW or separate from the 1</w:t>
      </w:r>
      <w:r w:rsidRPr="00901577">
        <w:rPr>
          <w:b/>
          <w:vertAlign w:val="superscript"/>
        </w:rPr>
        <w:t>st</w:t>
      </w:r>
      <w:r>
        <w:rPr>
          <w:b/>
        </w:rPr>
        <w:t xml:space="preserve"> RF BW with support of UE retuning </w:t>
      </w:r>
      <w:r w:rsidR="000378C6">
        <w:rPr>
          <w:rFonts w:eastAsiaTheme="minorEastAsia" w:hint="eastAsia"/>
          <w:b/>
          <w:lang w:eastAsia="ko-KR"/>
        </w:rPr>
        <w:t>is</w:t>
      </w:r>
      <w:r>
        <w:rPr>
          <w:b/>
        </w:rPr>
        <w:t xml:space="preserve"> viable options for a network to select. </w:t>
      </w:r>
    </w:p>
    <w:p w14:paraId="408F9C2F" w14:textId="182C4AFE" w:rsidR="000C773C" w:rsidRDefault="000C773C" w:rsidP="000C773C">
      <w:pPr>
        <w:pStyle w:val="a0"/>
        <w:rPr>
          <w:b/>
        </w:rPr>
      </w:pPr>
      <w:r w:rsidRPr="009665F0">
        <w:rPr>
          <w:b/>
        </w:rPr>
        <w:t>Observation</w:t>
      </w:r>
      <w:r>
        <w:rPr>
          <w:b/>
        </w:rPr>
        <w:t xml:space="preserve"> </w:t>
      </w:r>
      <w:r w:rsidR="0015749E">
        <w:rPr>
          <w:b/>
        </w:rPr>
        <w:t>8</w:t>
      </w:r>
      <w:r w:rsidRPr="009665F0">
        <w:rPr>
          <w:b/>
        </w:rPr>
        <w:t xml:space="preserve">: </w:t>
      </w:r>
      <w:r>
        <w:rPr>
          <w:b/>
        </w:rPr>
        <w:t>The 1</w:t>
      </w:r>
      <w:r w:rsidRPr="00664279">
        <w:rPr>
          <w:b/>
          <w:vertAlign w:val="superscript"/>
        </w:rPr>
        <w:t>st</w:t>
      </w:r>
      <w:r>
        <w:rPr>
          <w:b/>
        </w:rPr>
        <w:t xml:space="preserve"> RF BW for a UE need not be mandated to include RRM BWs for all neighbor cells. </w:t>
      </w:r>
    </w:p>
    <w:p w14:paraId="606799E7" w14:textId="6BEE4626" w:rsidR="000C773C" w:rsidRDefault="0015749E" w:rsidP="000C773C">
      <w:pPr>
        <w:pStyle w:val="a0"/>
        <w:rPr>
          <w:b/>
        </w:rPr>
      </w:pPr>
      <w:r>
        <w:rPr>
          <w:b/>
        </w:rPr>
        <w:t>Observation 9</w:t>
      </w:r>
      <w:r w:rsidR="000C773C">
        <w:rPr>
          <w:b/>
        </w:rPr>
        <w:t>: Depending on whether or not the neighbor cell RRM BW is within the 1</w:t>
      </w:r>
      <w:r w:rsidR="000C773C" w:rsidRPr="0009772C">
        <w:rPr>
          <w:b/>
          <w:vertAlign w:val="superscript"/>
        </w:rPr>
        <w:t>st</w:t>
      </w:r>
      <w:r w:rsidR="000C773C">
        <w:rPr>
          <w:b/>
        </w:rPr>
        <w:t xml:space="preserve"> RF BW, measurement gaps need to consider RF re-tuning time.</w:t>
      </w:r>
    </w:p>
    <w:p w14:paraId="1DD4C37C" w14:textId="0F1CA0DD" w:rsidR="000C773C" w:rsidRPr="00097706" w:rsidRDefault="000C773C" w:rsidP="000C773C">
      <w:pPr>
        <w:pStyle w:val="a0"/>
        <w:rPr>
          <w:b/>
        </w:rPr>
      </w:pPr>
      <w:r w:rsidRPr="00B63895">
        <w:rPr>
          <w:b/>
        </w:rPr>
        <w:t xml:space="preserve">Observation </w:t>
      </w:r>
      <w:r w:rsidR="00750FD3">
        <w:rPr>
          <w:b/>
        </w:rPr>
        <w:t>1</w:t>
      </w:r>
      <w:r w:rsidR="00750FD3">
        <w:rPr>
          <w:rFonts w:eastAsiaTheme="minorEastAsia" w:hint="eastAsia"/>
          <w:b/>
          <w:lang w:eastAsia="ko-KR"/>
        </w:rPr>
        <w:t>0</w:t>
      </w:r>
      <w:r w:rsidRPr="00B63895">
        <w:rPr>
          <w:b/>
        </w:rPr>
        <w:t>: Different from LTE, the measurement gap settings in NR should be based on the RRM BW configurations and the 1</w:t>
      </w:r>
      <w:r w:rsidRPr="00B63895">
        <w:rPr>
          <w:b/>
          <w:vertAlign w:val="superscript"/>
        </w:rPr>
        <w:t>st</w:t>
      </w:r>
      <w:r w:rsidRPr="00B63895">
        <w:rPr>
          <w:b/>
        </w:rPr>
        <w:t>, 2</w:t>
      </w:r>
      <w:r w:rsidRPr="00B63895">
        <w:rPr>
          <w:b/>
          <w:vertAlign w:val="superscript"/>
        </w:rPr>
        <w:t>nd</w:t>
      </w:r>
      <w:r w:rsidRPr="00B63895">
        <w:rPr>
          <w:b/>
        </w:rPr>
        <w:t xml:space="preserve"> RF BW configurations even in the case of intra-frequency measurements.</w:t>
      </w:r>
      <w:r>
        <w:rPr>
          <w:b/>
        </w:rPr>
        <w:t xml:space="preserve"> </w:t>
      </w:r>
    </w:p>
    <w:p w14:paraId="00BD63A8" w14:textId="77777777" w:rsidR="004761DB" w:rsidRDefault="004761DB" w:rsidP="00F70070">
      <w:pPr>
        <w:pStyle w:val="1"/>
        <w:spacing w:before="180"/>
        <w:ind w:left="562" w:hanging="562"/>
        <w:jc w:val="both"/>
        <w:rPr>
          <w:rFonts w:eastAsiaTheme="minorEastAsia"/>
          <w:lang w:eastAsia="ko-KR"/>
        </w:rPr>
      </w:pPr>
      <w:r>
        <w:rPr>
          <w:rFonts w:eastAsiaTheme="minorEastAsia" w:hint="eastAsia"/>
          <w:lang w:eastAsia="ko-KR"/>
        </w:rPr>
        <w:t>References</w:t>
      </w:r>
    </w:p>
    <w:p w14:paraId="31D9FCD7" w14:textId="77777777" w:rsidR="00417A32" w:rsidRDefault="003E1504" w:rsidP="00F70070">
      <w:pPr>
        <w:tabs>
          <w:tab w:val="left" w:pos="720"/>
          <w:tab w:val="left" w:pos="1774"/>
        </w:tabs>
        <w:jc w:val="both"/>
      </w:pPr>
      <w:r>
        <w:rPr>
          <w:lang w:eastAsia="ko-KR"/>
        </w:rPr>
        <w:t>[1]</w:t>
      </w:r>
      <w:r w:rsidRPr="003E1504">
        <w:t xml:space="preserve"> </w:t>
      </w:r>
      <w:r>
        <w:rPr>
          <w:rFonts w:eastAsiaTheme="minorEastAsia" w:hint="eastAsia"/>
          <w:lang w:eastAsia="ko-KR"/>
        </w:rPr>
        <w:t>RAN1 Chairman</w:t>
      </w:r>
      <w:r>
        <w:rPr>
          <w:rFonts w:eastAsiaTheme="minorEastAsia"/>
          <w:lang w:eastAsia="ko-KR"/>
        </w:rPr>
        <w:t>’</w:t>
      </w:r>
      <w:r w:rsidR="007A3FFA">
        <w:rPr>
          <w:rFonts w:eastAsiaTheme="minorEastAsia" w:hint="eastAsia"/>
          <w:lang w:eastAsia="ko-KR"/>
        </w:rPr>
        <w:t>s Notes, RAN1#86bis</w:t>
      </w:r>
      <w:r w:rsidR="00A76C31">
        <w:rPr>
          <w:rFonts w:eastAsiaTheme="minorEastAsia" w:hint="eastAsia"/>
          <w:lang w:eastAsia="ko-KR"/>
        </w:rPr>
        <w:t xml:space="preserve">, RAN1 Chairman, </w:t>
      </w:r>
      <w:r w:rsidR="002C236D">
        <w:rPr>
          <w:rFonts w:eastAsiaTheme="minorEastAsia"/>
          <w:lang w:eastAsia="ko-KR"/>
        </w:rPr>
        <w:t>October</w:t>
      </w:r>
      <w:r>
        <w:rPr>
          <w:rFonts w:eastAsiaTheme="minorEastAsia" w:hint="eastAsia"/>
          <w:lang w:eastAsia="ko-KR"/>
        </w:rPr>
        <w:t xml:space="preserve"> 2016</w:t>
      </w:r>
      <w:r w:rsidRPr="00C74D90">
        <w:t>.</w:t>
      </w:r>
    </w:p>
    <w:p w14:paraId="71CBDA40" w14:textId="4CC4642F" w:rsidR="00C90645" w:rsidRDefault="00C90645" w:rsidP="00F70070">
      <w:pPr>
        <w:tabs>
          <w:tab w:val="left" w:pos="720"/>
          <w:tab w:val="left" w:pos="1774"/>
        </w:tabs>
        <w:jc w:val="both"/>
      </w:pPr>
      <w:r>
        <w:rPr>
          <w:lang w:eastAsia="ko-KR"/>
        </w:rPr>
        <w:t>[2]</w:t>
      </w:r>
      <w:r w:rsidRPr="003E1504">
        <w:t xml:space="preserve"> </w:t>
      </w:r>
      <w:r>
        <w:rPr>
          <w:rFonts w:eastAsiaTheme="minorEastAsia" w:hint="eastAsia"/>
          <w:lang w:eastAsia="ko-KR"/>
        </w:rPr>
        <w:t>RAN1 Chairman</w:t>
      </w:r>
      <w:r>
        <w:rPr>
          <w:rFonts w:eastAsiaTheme="minorEastAsia"/>
          <w:lang w:eastAsia="ko-KR"/>
        </w:rPr>
        <w:t>’</w:t>
      </w:r>
      <w:r w:rsidR="006750CD">
        <w:rPr>
          <w:rFonts w:eastAsiaTheme="minorEastAsia" w:hint="eastAsia"/>
          <w:lang w:eastAsia="ko-KR"/>
        </w:rPr>
        <w:t>s Notes, RAN1#87</w:t>
      </w:r>
      <w:r>
        <w:rPr>
          <w:rFonts w:eastAsiaTheme="minorEastAsia" w:hint="eastAsia"/>
          <w:lang w:eastAsia="ko-KR"/>
        </w:rPr>
        <w:t xml:space="preserve">, RAN1 Chairman, </w:t>
      </w:r>
      <w:r w:rsidR="006750CD">
        <w:rPr>
          <w:rFonts w:eastAsiaTheme="minorEastAsia"/>
          <w:lang w:eastAsia="ko-KR"/>
        </w:rPr>
        <w:t>November</w:t>
      </w:r>
      <w:r>
        <w:rPr>
          <w:rFonts w:eastAsiaTheme="minorEastAsia" w:hint="eastAsia"/>
          <w:lang w:eastAsia="ko-KR"/>
        </w:rPr>
        <w:t xml:space="preserve"> 2016</w:t>
      </w:r>
      <w:r w:rsidRPr="00C74D90">
        <w:t>.</w:t>
      </w:r>
    </w:p>
    <w:p w14:paraId="6E8847FB" w14:textId="3EB81AC5" w:rsidR="00206F9A" w:rsidRDefault="000321DA" w:rsidP="00F70070">
      <w:pPr>
        <w:tabs>
          <w:tab w:val="left" w:pos="720"/>
          <w:tab w:val="left" w:pos="1774"/>
        </w:tabs>
        <w:jc w:val="both"/>
        <w:rPr>
          <w:lang w:eastAsia="ko-KR"/>
        </w:rPr>
      </w:pPr>
      <w:r w:rsidRPr="00C74D90">
        <w:t>[</w:t>
      </w:r>
      <w:r w:rsidR="00EB08BB">
        <w:t>3</w:t>
      </w:r>
      <w:r w:rsidRPr="00C74D90">
        <w:t xml:space="preserve">] </w:t>
      </w:r>
      <w:r w:rsidR="00206F9A">
        <w:rPr>
          <w:lang w:eastAsia="ko-KR"/>
        </w:rPr>
        <w:t>R1-161</w:t>
      </w:r>
      <w:r w:rsidR="004E7EF5">
        <w:rPr>
          <w:lang w:eastAsia="ko-KR"/>
        </w:rPr>
        <w:t>2474</w:t>
      </w:r>
      <w:r w:rsidR="00206F9A">
        <w:rPr>
          <w:lang w:eastAsia="ko-KR"/>
        </w:rPr>
        <w:t xml:space="preserve">, </w:t>
      </w:r>
      <w:r w:rsidR="00206F9A" w:rsidRPr="00EA06BF">
        <w:rPr>
          <w:lang w:eastAsia="ko-KR"/>
        </w:rPr>
        <w:t>NR mobility in idle mode</w:t>
      </w:r>
      <w:r w:rsidR="00206F9A">
        <w:rPr>
          <w:lang w:eastAsia="ko-KR"/>
        </w:rPr>
        <w:t>, Samsung</w:t>
      </w:r>
    </w:p>
    <w:p w14:paraId="2D0D66F3" w14:textId="504897C2" w:rsidR="003461C8" w:rsidRDefault="00EB08BB" w:rsidP="00F70070">
      <w:pPr>
        <w:pStyle w:val="2222"/>
        <w:spacing w:after="0" w:line="240" w:lineRule="auto"/>
        <w:ind w:firstLineChars="0" w:firstLine="0"/>
        <w:rPr>
          <w:rFonts w:cs="Times New Roman"/>
          <w:lang w:eastAsia="ko-KR"/>
        </w:rPr>
      </w:pPr>
      <w:r>
        <w:rPr>
          <w:rFonts w:cs="Times New Roman"/>
          <w:lang w:eastAsia="ko-KR"/>
        </w:rPr>
        <w:t>[4</w:t>
      </w:r>
      <w:r w:rsidR="00206F9A">
        <w:rPr>
          <w:rFonts w:cs="Times New Roman"/>
          <w:lang w:eastAsia="ko-KR"/>
        </w:rPr>
        <w:t>] R1-161</w:t>
      </w:r>
      <w:r w:rsidR="00AE627F">
        <w:rPr>
          <w:rFonts w:cs="Times New Roman"/>
          <w:lang w:eastAsia="ko-KR"/>
        </w:rPr>
        <w:t>2470</w:t>
      </w:r>
      <w:r w:rsidR="00206F9A">
        <w:rPr>
          <w:rFonts w:cs="Times New Roman"/>
          <w:lang w:eastAsia="ko-KR"/>
        </w:rPr>
        <w:t xml:space="preserve">, </w:t>
      </w:r>
      <w:r w:rsidR="00206F9A" w:rsidRPr="004E696E">
        <w:rPr>
          <w:rFonts w:cs="Times New Roman"/>
          <w:lang w:eastAsia="ko-KR"/>
        </w:rPr>
        <w:t>Mobility RS design for supporting multi-beam operations</w:t>
      </w:r>
      <w:r w:rsidR="00AC1AF7">
        <w:rPr>
          <w:rFonts w:cs="Times New Roman"/>
          <w:lang w:eastAsia="ko-KR"/>
        </w:rPr>
        <w:t>, Samsung</w:t>
      </w:r>
    </w:p>
    <w:p w14:paraId="5D4DCC7B" w14:textId="7DA40B46" w:rsidR="000321DA" w:rsidRDefault="00EB08BB" w:rsidP="00F70070">
      <w:pPr>
        <w:pStyle w:val="2222"/>
        <w:spacing w:after="0" w:line="240" w:lineRule="auto"/>
        <w:ind w:firstLineChars="0" w:firstLine="0"/>
        <w:rPr>
          <w:rFonts w:cs="Times New Roman"/>
          <w:lang w:eastAsia="ko-KR"/>
        </w:rPr>
      </w:pPr>
      <w:r>
        <w:t>[5</w:t>
      </w:r>
      <w:r w:rsidR="002F6B46">
        <w:t xml:space="preserve">] </w:t>
      </w:r>
      <w:r w:rsidR="003300EA">
        <w:rPr>
          <w:rFonts w:cs="Times New Roman"/>
          <w:lang w:eastAsia="ko-KR"/>
        </w:rPr>
        <w:t>R1-161247</w:t>
      </w:r>
      <w:r w:rsidR="002873D4">
        <w:rPr>
          <w:lang w:eastAsia="ko-KR"/>
        </w:rPr>
        <w:t>1</w:t>
      </w:r>
      <w:r w:rsidR="003300EA">
        <w:rPr>
          <w:rFonts w:cs="Times New Roman"/>
          <w:lang w:eastAsia="ko-KR"/>
        </w:rPr>
        <w:t xml:space="preserve">, </w:t>
      </w:r>
      <w:r w:rsidR="003300EA" w:rsidRPr="003300EA">
        <w:rPr>
          <w:lang w:eastAsia="ko-KR"/>
        </w:rPr>
        <w:t>NR mobility in connected mode</w:t>
      </w:r>
      <w:r w:rsidR="003300EA">
        <w:rPr>
          <w:rFonts w:cs="Times New Roman"/>
          <w:lang w:eastAsia="ko-KR"/>
        </w:rPr>
        <w:t>, Samsung</w:t>
      </w:r>
    </w:p>
    <w:p w14:paraId="195170DF" w14:textId="12A31311" w:rsidR="00EB08BB" w:rsidRPr="00417A32" w:rsidRDefault="00EB08BB" w:rsidP="00F70070">
      <w:pPr>
        <w:pStyle w:val="2222"/>
        <w:spacing w:after="0" w:line="240" w:lineRule="auto"/>
        <w:ind w:firstLineChars="0" w:firstLine="0"/>
        <w:rPr>
          <w:rFonts w:cs="Times New Roman"/>
          <w:lang w:eastAsia="ko-KR"/>
        </w:rPr>
      </w:pPr>
      <w:r>
        <w:rPr>
          <w:rFonts w:cs="Times New Roman"/>
          <w:lang w:eastAsia="ko-KR"/>
        </w:rPr>
        <w:t xml:space="preserve">[6] </w:t>
      </w:r>
      <w:r w:rsidR="00572630" w:rsidRPr="00572630">
        <w:rPr>
          <w:rFonts w:cs="Times New Roman"/>
          <w:lang w:eastAsia="ko-KR"/>
        </w:rPr>
        <w:t>R1-1612436 Wide Bandwidth Operational Aspects</w:t>
      </w:r>
      <w:r w:rsidR="00572630">
        <w:rPr>
          <w:rFonts w:cs="Times New Roman"/>
          <w:lang w:eastAsia="ko-KR"/>
        </w:rPr>
        <w:t>, Samsung</w:t>
      </w:r>
    </w:p>
    <w:sectPr w:rsidR="00EB08BB" w:rsidRPr="00417A32" w:rsidSect="00775D6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1AB389" w14:textId="77777777" w:rsidR="000779F9" w:rsidRDefault="000779F9">
      <w:r>
        <w:separator/>
      </w:r>
    </w:p>
  </w:endnote>
  <w:endnote w:type="continuationSeparator" w:id="0">
    <w:p w14:paraId="6B969A16" w14:textId="77777777" w:rsidR="000779F9" w:rsidRDefault="00077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BF5472" w14:textId="77777777" w:rsidR="000779F9" w:rsidRDefault="000779F9">
      <w:r>
        <w:separator/>
      </w:r>
    </w:p>
  </w:footnote>
  <w:footnote w:type="continuationSeparator" w:id="0">
    <w:p w14:paraId="4E74DDEE" w14:textId="77777777" w:rsidR="000779F9" w:rsidRDefault="00077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AE690" w14:textId="77777777" w:rsidR="00C87422" w:rsidRDefault="00C87422" w:rsidP="00C87422">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41CCF"/>
    <w:multiLevelType w:val="hybridMultilevel"/>
    <w:tmpl w:val="D6308C0E"/>
    <w:lvl w:ilvl="0" w:tplc="5E16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AB42FF"/>
    <w:multiLevelType w:val="hybridMultilevel"/>
    <w:tmpl w:val="C4F6B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AC4993"/>
    <w:multiLevelType w:val="hybridMultilevel"/>
    <w:tmpl w:val="380A6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10C0AC7"/>
    <w:multiLevelType w:val="hybridMultilevel"/>
    <w:tmpl w:val="37785F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88D51EA"/>
    <w:multiLevelType w:val="hybridMultilevel"/>
    <w:tmpl w:val="C720A818"/>
    <w:lvl w:ilvl="0" w:tplc="BB009C4E">
      <w:start w:val="2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2355CF"/>
    <w:multiLevelType w:val="hybridMultilevel"/>
    <w:tmpl w:val="4866F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2">
    <w:nsid w:val="3D42584A"/>
    <w:multiLevelType w:val="hybridMultilevel"/>
    <w:tmpl w:val="B2D65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nsid w:val="4E393961"/>
    <w:multiLevelType w:val="hybridMultilevel"/>
    <w:tmpl w:val="0F1AB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1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7">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437"/>
        </w:tabs>
        <w:ind w:left="443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8"/>
  </w:num>
  <w:num w:numId="3">
    <w:abstractNumId w:val="4"/>
  </w:num>
  <w:num w:numId="4">
    <w:abstractNumId w:val="12"/>
  </w:num>
  <w:num w:numId="5">
    <w:abstractNumId w:val="7"/>
  </w:num>
  <w:num w:numId="6">
    <w:abstractNumId w:val="9"/>
  </w:num>
  <w:num w:numId="7">
    <w:abstractNumId w:val="6"/>
  </w:num>
  <w:num w:numId="8">
    <w:abstractNumId w:val="17"/>
  </w:num>
  <w:num w:numId="9">
    <w:abstractNumId w:val="3"/>
  </w:num>
  <w:num w:numId="10">
    <w:abstractNumId w:val="13"/>
  </w:num>
  <w:num w:numId="11">
    <w:abstractNumId w:val="16"/>
  </w:num>
  <w:num w:numId="12">
    <w:abstractNumId w:val="15"/>
  </w:num>
  <w:num w:numId="13">
    <w:abstractNumId w:val="11"/>
  </w:num>
  <w:num w:numId="14">
    <w:abstractNumId w:val="1"/>
  </w:num>
  <w:num w:numId="15">
    <w:abstractNumId w:val="5"/>
  </w:num>
  <w:num w:numId="16">
    <w:abstractNumId w:val="0"/>
  </w:num>
  <w:num w:numId="17">
    <w:abstractNumId w:val="10"/>
  </w:num>
  <w:num w:numId="18">
    <w:abstractNumId w:val="14"/>
  </w:num>
  <w:num w:numId="19">
    <w:abstractNumId w:val="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removePersonalInformation/>
  <w:removeDateAndTime/>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145C"/>
    <w:rsid w:val="000015ED"/>
    <w:rsid w:val="00001AAA"/>
    <w:rsid w:val="00002B6E"/>
    <w:rsid w:val="0000351A"/>
    <w:rsid w:val="00004744"/>
    <w:rsid w:val="000047F4"/>
    <w:rsid w:val="000048F6"/>
    <w:rsid w:val="00004C90"/>
    <w:rsid w:val="00004E14"/>
    <w:rsid w:val="00006A25"/>
    <w:rsid w:val="00006E1C"/>
    <w:rsid w:val="00010BCA"/>
    <w:rsid w:val="00010EB2"/>
    <w:rsid w:val="00013030"/>
    <w:rsid w:val="000136B8"/>
    <w:rsid w:val="000157BD"/>
    <w:rsid w:val="00015C42"/>
    <w:rsid w:val="000168ED"/>
    <w:rsid w:val="000176BD"/>
    <w:rsid w:val="000178EB"/>
    <w:rsid w:val="00020149"/>
    <w:rsid w:val="000211CF"/>
    <w:rsid w:val="000216A6"/>
    <w:rsid w:val="00021EC8"/>
    <w:rsid w:val="000229DA"/>
    <w:rsid w:val="00022D74"/>
    <w:rsid w:val="00022EF3"/>
    <w:rsid w:val="00023DC7"/>
    <w:rsid w:val="00024C49"/>
    <w:rsid w:val="000259F2"/>
    <w:rsid w:val="00026479"/>
    <w:rsid w:val="000313F2"/>
    <w:rsid w:val="0003196B"/>
    <w:rsid w:val="000321DA"/>
    <w:rsid w:val="00032C80"/>
    <w:rsid w:val="00033689"/>
    <w:rsid w:val="0003485E"/>
    <w:rsid w:val="00035DE8"/>
    <w:rsid w:val="000369DA"/>
    <w:rsid w:val="00036CEF"/>
    <w:rsid w:val="000378C6"/>
    <w:rsid w:val="00040015"/>
    <w:rsid w:val="00040FCA"/>
    <w:rsid w:val="00041FD0"/>
    <w:rsid w:val="00042230"/>
    <w:rsid w:val="000429CF"/>
    <w:rsid w:val="00043711"/>
    <w:rsid w:val="00044DCE"/>
    <w:rsid w:val="00046A04"/>
    <w:rsid w:val="00047738"/>
    <w:rsid w:val="0005114A"/>
    <w:rsid w:val="00051188"/>
    <w:rsid w:val="000512B1"/>
    <w:rsid w:val="0005367D"/>
    <w:rsid w:val="000547F1"/>
    <w:rsid w:val="00055084"/>
    <w:rsid w:val="00055F38"/>
    <w:rsid w:val="00056296"/>
    <w:rsid w:val="00061398"/>
    <w:rsid w:val="00061943"/>
    <w:rsid w:val="00061B17"/>
    <w:rsid w:val="00062FA5"/>
    <w:rsid w:val="0006331D"/>
    <w:rsid w:val="000643C2"/>
    <w:rsid w:val="000653F2"/>
    <w:rsid w:val="00066048"/>
    <w:rsid w:val="000666C0"/>
    <w:rsid w:val="00067ED2"/>
    <w:rsid w:val="000714BF"/>
    <w:rsid w:val="0007162C"/>
    <w:rsid w:val="0007296A"/>
    <w:rsid w:val="00073254"/>
    <w:rsid w:val="000738D0"/>
    <w:rsid w:val="00073E90"/>
    <w:rsid w:val="00074503"/>
    <w:rsid w:val="000765DE"/>
    <w:rsid w:val="0007709B"/>
    <w:rsid w:val="000773D8"/>
    <w:rsid w:val="000779F9"/>
    <w:rsid w:val="000801CF"/>
    <w:rsid w:val="00080681"/>
    <w:rsid w:val="000808D3"/>
    <w:rsid w:val="0008154E"/>
    <w:rsid w:val="00083297"/>
    <w:rsid w:val="00085F0A"/>
    <w:rsid w:val="00087755"/>
    <w:rsid w:val="0008783B"/>
    <w:rsid w:val="00087EAE"/>
    <w:rsid w:val="00090CE2"/>
    <w:rsid w:val="00092E0F"/>
    <w:rsid w:val="00093C20"/>
    <w:rsid w:val="000950D8"/>
    <w:rsid w:val="000955E9"/>
    <w:rsid w:val="00095DC6"/>
    <w:rsid w:val="00097706"/>
    <w:rsid w:val="0009772C"/>
    <w:rsid w:val="00097C8D"/>
    <w:rsid w:val="000A12D7"/>
    <w:rsid w:val="000A1ADD"/>
    <w:rsid w:val="000A23B5"/>
    <w:rsid w:val="000A258F"/>
    <w:rsid w:val="000A30D1"/>
    <w:rsid w:val="000A440C"/>
    <w:rsid w:val="000A4A88"/>
    <w:rsid w:val="000A4B7B"/>
    <w:rsid w:val="000A4DD7"/>
    <w:rsid w:val="000B110F"/>
    <w:rsid w:val="000B25B4"/>
    <w:rsid w:val="000B366B"/>
    <w:rsid w:val="000B3988"/>
    <w:rsid w:val="000B3F46"/>
    <w:rsid w:val="000B4BB7"/>
    <w:rsid w:val="000B4CC4"/>
    <w:rsid w:val="000B5B12"/>
    <w:rsid w:val="000B68A8"/>
    <w:rsid w:val="000B6A31"/>
    <w:rsid w:val="000B6E87"/>
    <w:rsid w:val="000B7C1D"/>
    <w:rsid w:val="000C0CC9"/>
    <w:rsid w:val="000C0EB4"/>
    <w:rsid w:val="000C5147"/>
    <w:rsid w:val="000C773C"/>
    <w:rsid w:val="000C78D5"/>
    <w:rsid w:val="000D158A"/>
    <w:rsid w:val="000D2665"/>
    <w:rsid w:val="000D2891"/>
    <w:rsid w:val="000D2EBE"/>
    <w:rsid w:val="000D3CB1"/>
    <w:rsid w:val="000D49FA"/>
    <w:rsid w:val="000D5F6D"/>
    <w:rsid w:val="000D6961"/>
    <w:rsid w:val="000D6B22"/>
    <w:rsid w:val="000D748C"/>
    <w:rsid w:val="000E0492"/>
    <w:rsid w:val="000E12AA"/>
    <w:rsid w:val="000E1616"/>
    <w:rsid w:val="000E4584"/>
    <w:rsid w:val="000E4A00"/>
    <w:rsid w:val="000E4FF5"/>
    <w:rsid w:val="000E5246"/>
    <w:rsid w:val="000E5DCE"/>
    <w:rsid w:val="000E6745"/>
    <w:rsid w:val="000E7C03"/>
    <w:rsid w:val="000F08B5"/>
    <w:rsid w:val="000F1567"/>
    <w:rsid w:val="000F1A43"/>
    <w:rsid w:val="000F27A6"/>
    <w:rsid w:val="000F2BBB"/>
    <w:rsid w:val="000F30A8"/>
    <w:rsid w:val="000F6698"/>
    <w:rsid w:val="000F74B3"/>
    <w:rsid w:val="001025A4"/>
    <w:rsid w:val="001037AC"/>
    <w:rsid w:val="00104C43"/>
    <w:rsid w:val="00105715"/>
    <w:rsid w:val="00105DB0"/>
    <w:rsid w:val="00106384"/>
    <w:rsid w:val="00107117"/>
    <w:rsid w:val="00110245"/>
    <w:rsid w:val="0011050F"/>
    <w:rsid w:val="001107AE"/>
    <w:rsid w:val="00110ADB"/>
    <w:rsid w:val="00112068"/>
    <w:rsid w:val="0011214B"/>
    <w:rsid w:val="00112BCE"/>
    <w:rsid w:val="00112E18"/>
    <w:rsid w:val="0011310B"/>
    <w:rsid w:val="00113920"/>
    <w:rsid w:val="00114ABA"/>
    <w:rsid w:val="00114ACD"/>
    <w:rsid w:val="0011517E"/>
    <w:rsid w:val="001151FE"/>
    <w:rsid w:val="00115627"/>
    <w:rsid w:val="001208B6"/>
    <w:rsid w:val="00122D08"/>
    <w:rsid w:val="00123528"/>
    <w:rsid w:val="00123A82"/>
    <w:rsid w:val="00124D4F"/>
    <w:rsid w:val="00124E12"/>
    <w:rsid w:val="00127152"/>
    <w:rsid w:val="00131D15"/>
    <w:rsid w:val="00131DC5"/>
    <w:rsid w:val="001342A8"/>
    <w:rsid w:val="00136DB1"/>
    <w:rsid w:val="001378B1"/>
    <w:rsid w:val="001407A0"/>
    <w:rsid w:val="0014094F"/>
    <w:rsid w:val="00141448"/>
    <w:rsid w:val="00144601"/>
    <w:rsid w:val="001449AE"/>
    <w:rsid w:val="00144BD6"/>
    <w:rsid w:val="0014525A"/>
    <w:rsid w:val="00145B06"/>
    <w:rsid w:val="00151288"/>
    <w:rsid w:val="00152243"/>
    <w:rsid w:val="00152871"/>
    <w:rsid w:val="0015301F"/>
    <w:rsid w:val="0015335C"/>
    <w:rsid w:val="0015356B"/>
    <w:rsid w:val="00153685"/>
    <w:rsid w:val="00153AF5"/>
    <w:rsid w:val="001562E7"/>
    <w:rsid w:val="00156306"/>
    <w:rsid w:val="0015749E"/>
    <w:rsid w:val="0016042B"/>
    <w:rsid w:val="00160612"/>
    <w:rsid w:val="001606C2"/>
    <w:rsid w:val="00162B89"/>
    <w:rsid w:val="00162BD9"/>
    <w:rsid w:val="00164D34"/>
    <w:rsid w:val="00164EC7"/>
    <w:rsid w:val="00166398"/>
    <w:rsid w:val="001663B0"/>
    <w:rsid w:val="00166DC1"/>
    <w:rsid w:val="0016738C"/>
    <w:rsid w:val="00171671"/>
    <w:rsid w:val="00175544"/>
    <w:rsid w:val="001758A7"/>
    <w:rsid w:val="00177C52"/>
    <w:rsid w:val="00180B2E"/>
    <w:rsid w:val="0018195D"/>
    <w:rsid w:val="00181B37"/>
    <w:rsid w:val="001831C9"/>
    <w:rsid w:val="001834AA"/>
    <w:rsid w:val="001839BB"/>
    <w:rsid w:val="0018544B"/>
    <w:rsid w:val="00185745"/>
    <w:rsid w:val="00186FE4"/>
    <w:rsid w:val="0018798A"/>
    <w:rsid w:val="00190788"/>
    <w:rsid w:val="00190AEC"/>
    <w:rsid w:val="001913FB"/>
    <w:rsid w:val="001922FD"/>
    <w:rsid w:val="0019377E"/>
    <w:rsid w:val="00194400"/>
    <w:rsid w:val="00195019"/>
    <w:rsid w:val="0019529B"/>
    <w:rsid w:val="00195749"/>
    <w:rsid w:val="001A063E"/>
    <w:rsid w:val="001A1B1F"/>
    <w:rsid w:val="001A1BA3"/>
    <w:rsid w:val="001A2261"/>
    <w:rsid w:val="001A25E5"/>
    <w:rsid w:val="001A2AF7"/>
    <w:rsid w:val="001A30BC"/>
    <w:rsid w:val="001A33A1"/>
    <w:rsid w:val="001A3EFB"/>
    <w:rsid w:val="001A6313"/>
    <w:rsid w:val="001B167B"/>
    <w:rsid w:val="001B3395"/>
    <w:rsid w:val="001B4039"/>
    <w:rsid w:val="001B469A"/>
    <w:rsid w:val="001B5107"/>
    <w:rsid w:val="001B59CA"/>
    <w:rsid w:val="001B62EE"/>
    <w:rsid w:val="001C2519"/>
    <w:rsid w:val="001C6204"/>
    <w:rsid w:val="001C73E1"/>
    <w:rsid w:val="001C793B"/>
    <w:rsid w:val="001C7C7B"/>
    <w:rsid w:val="001D0208"/>
    <w:rsid w:val="001D0593"/>
    <w:rsid w:val="001D0605"/>
    <w:rsid w:val="001D0BEB"/>
    <w:rsid w:val="001D1AAC"/>
    <w:rsid w:val="001D1C46"/>
    <w:rsid w:val="001D1D5F"/>
    <w:rsid w:val="001D2106"/>
    <w:rsid w:val="001D662F"/>
    <w:rsid w:val="001D6F3B"/>
    <w:rsid w:val="001D7F3B"/>
    <w:rsid w:val="001D7F40"/>
    <w:rsid w:val="001E0C4B"/>
    <w:rsid w:val="001E30CA"/>
    <w:rsid w:val="001F216D"/>
    <w:rsid w:val="001F234D"/>
    <w:rsid w:val="001F3221"/>
    <w:rsid w:val="001F3E62"/>
    <w:rsid w:val="001F6D45"/>
    <w:rsid w:val="00200119"/>
    <w:rsid w:val="00200321"/>
    <w:rsid w:val="0020299F"/>
    <w:rsid w:val="00204446"/>
    <w:rsid w:val="00205880"/>
    <w:rsid w:val="00206617"/>
    <w:rsid w:val="00206D32"/>
    <w:rsid w:val="00206DBE"/>
    <w:rsid w:val="00206F9A"/>
    <w:rsid w:val="0020739E"/>
    <w:rsid w:val="0021013F"/>
    <w:rsid w:val="0021058D"/>
    <w:rsid w:val="00210AD1"/>
    <w:rsid w:val="002129DC"/>
    <w:rsid w:val="00212D3B"/>
    <w:rsid w:val="00212FBE"/>
    <w:rsid w:val="00213E34"/>
    <w:rsid w:val="002147AA"/>
    <w:rsid w:val="00214839"/>
    <w:rsid w:val="00216C78"/>
    <w:rsid w:val="00222EF5"/>
    <w:rsid w:val="00223487"/>
    <w:rsid w:val="002239B4"/>
    <w:rsid w:val="00225D9A"/>
    <w:rsid w:val="0022796C"/>
    <w:rsid w:val="00230A39"/>
    <w:rsid w:val="00232D1A"/>
    <w:rsid w:val="0023325B"/>
    <w:rsid w:val="002334CD"/>
    <w:rsid w:val="0023381B"/>
    <w:rsid w:val="00236793"/>
    <w:rsid w:val="00236D6E"/>
    <w:rsid w:val="00236DB6"/>
    <w:rsid w:val="0023719A"/>
    <w:rsid w:val="002373E7"/>
    <w:rsid w:val="00237711"/>
    <w:rsid w:val="0024058B"/>
    <w:rsid w:val="002408FF"/>
    <w:rsid w:val="00240BEB"/>
    <w:rsid w:val="00241C5F"/>
    <w:rsid w:val="002432C8"/>
    <w:rsid w:val="0024398E"/>
    <w:rsid w:val="002444B4"/>
    <w:rsid w:val="00244BE8"/>
    <w:rsid w:val="00246F2D"/>
    <w:rsid w:val="0024749B"/>
    <w:rsid w:val="00252EF9"/>
    <w:rsid w:val="002531C6"/>
    <w:rsid w:val="00254505"/>
    <w:rsid w:val="00254B17"/>
    <w:rsid w:val="00255A4A"/>
    <w:rsid w:val="00255CE2"/>
    <w:rsid w:val="00257784"/>
    <w:rsid w:val="002604BB"/>
    <w:rsid w:val="002605B6"/>
    <w:rsid w:val="002614ED"/>
    <w:rsid w:val="00261C0E"/>
    <w:rsid w:val="00261D59"/>
    <w:rsid w:val="002628E0"/>
    <w:rsid w:val="00262F26"/>
    <w:rsid w:val="0026300A"/>
    <w:rsid w:val="002647D9"/>
    <w:rsid w:val="00266232"/>
    <w:rsid w:val="00266BC5"/>
    <w:rsid w:val="00267A6A"/>
    <w:rsid w:val="00270488"/>
    <w:rsid w:val="00270503"/>
    <w:rsid w:val="00272625"/>
    <w:rsid w:val="00273ED5"/>
    <w:rsid w:val="00274F85"/>
    <w:rsid w:val="00276054"/>
    <w:rsid w:val="00277E34"/>
    <w:rsid w:val="00277FAF"/>
    <w:rsid w:val="002812AD"/>
    <w:rsid w:val="00281915"/>
    <w:rsid w:val="00284FB1"/>
    <w:rsid w:val="0028649F"/>
    <w:rsid w:val="002873D4"/>
    <w:rsid w:val="00287454"/>
    <w:rsid w:val="002876A4"/>
    <w:rsid w:val="002876A8"/>
    <w:rsid w:val="00287837"/>
    <w:rsid w:val="00287963"/>
    <w:rsid w:val="00290099"/>
    <w:rsid w:val="002915F7"/>
    <w:rsid w:val="00291E3A"/>
    <w:rsid w:val="002920AC"/>
    <w:rsid w:val="002928E0"/>
    <w:rsid w:val="00292B13"/>
    <w:rsid w:val="00293373"/>
    <w:rsid w:val="002938B9"/>
    <w:rsid w:val="0029423B"/>
    <w:rsid w:val="002966B5"/>
    <w:rsid w:val="002A0267"/>
    <w:rsid w:val="002A0F66"/>
    <w:rsid w:val="002A10F7"/>
    <w:rsid w:val="002A3942"/>
    <w:rsid w:val="002A6A11"/>
    <w:rsid w:val="002B061A"/>
    <w:rsid w:val="002B09E5"/>
    <w:rsid w:val="002B1241"/>
    <w:rsid w:val="002B2366"/>
    <w:rsid w:val="002B2462"/>
    <w:rsid w:val="002B3043"/>
    <w:rsid w:val="002B33E8"/>
    <w:rsid w:val="002B3556"/>
    <w:rsid w:val="002B3764"/>
    <w:rsid w:val="002B3F4B"/>
    <w:rsid w:val="002B555D"/>
    <w:rsid w:val="002B5AC4"/>
    <w:rsid w:val="002B6124"/>
    <w:rsid w:val="002B64C8"/>
    <w:rsid w:val="002B6807"/>
    <w:rsid w:val="002B6D8A"/>
    <w:rsid w:val="002B6EDF"/>
    <w:rsid w:val="002C08A7"/>
    <w:rsid w:val="002C0E6E"/>
    <w:rsid w:val="002C1DDA"/>
    <w:rsid w:val="002C1E87"/>
    <w:rsid w:val="002C236D"/>
    <w:rsid w:val="002C34AA"/>
    <w:rsid w:val="002C49A1"/>
    <w:rsid w:val="002C4A57"/>
    <w:rsid w:val="002C4B1C"/>
    <w:rsid w:val="002C5C6C"/>
    <w:rsid w:val="002C5E8A"/>
    <w:rsid w:val="002C6325"/>
    <w:rsid w:val="002C6FD2"/>
    <w:rsid w:val="002D04FD"/>
    <w:rsid w:val="002D0D5F"/>
    <w:rsid w:val="002D609A"/>
    <w:rsid w:val="002D6EB8"/>
    <w:rsid w:val="002D781C"/>
    <w:rsid w:val="002E1317"/>
    <w:rsid w:val="002E15D5"/>
    <w:rsid w:val="002E192F"/>
    <w:rsid w:val="002E4280"/>
    <w:rsid w:val="002E581A"/>
    <w:rsid w:val="002E7FE2"/>
    <w:rsid w:val="002F1201"/>
    <w:rsid w:val="002F155D"/>
    <w:rsid w:val="002F1BCD"/>
    <w:rsid w:val="002F2B8A"/>
    <w:rsid w:val="002F36E6"/>
    <w:rsid w:val="002F446E"/>
    <w:rsid w:val="002F4A4A"/>
    <w:rsid w:val="002F5E1B"/>
    <w:rsid w:val="002F6203"/>
    <w:rsid w:val="002F6B46"/>
    <w:rsid w:val="00300EFB"/>
    <w:rsid w:val="00300F5D"/>
    <w:rsid w:val="00303CF1"/>
    <w:rsid w:val="00303ED9"/>
    <w:rsid w:val="00304007"/>
    <w:rsid w:val="00304396"/>
    <w:rsid w:val="003048A9"/>
    <w:rsid w:val="00304B63"/>
    <w:rsid w:val="00305342"/>
    <w:rsid w:val="0030564C"/>
    <w:rsid w:val="00305DAC"/>
    <w:rsid w:val="0030608D"/>
    <w:rsid w:val="0030652D"/>
    <w:rsid w:val="00311233"/>
    <w:rsid w:val="00312857"/>
    <w:rsid w:val="003142F4"/>
    <w:rsid w:val="00314E8A"/>
    <w:rsid w:val="00314F5E"/>
    <w:rsid w:val="003157EC"/>
    <w:rsid w:val="0031605A"/>
    <w:rsid w:val="00316CC8"/>
    <w:rsid w:val="00317904"/>
    <w:rsid w:val="00320639"/>
    <w:rsid w:val="00320BF1"/>
    <w:rsid w:val="00323553"/>
    <w:rsid w:val="00324AB0"/>
    <w:rsid w:val="00325D7A"/>
    <w:rsid w:val="00325E70"/>
    <w:rsid w:val="003260E7"/>
    <w:rsid w:val="00326D21"/>
    <w:rsid w:val="003272DE"/>
    <w:rsid w:val="00327586"/>
    <w:rsid w:val="003279AC"/>
    <w:rsid w:val="003300EA"/>
    <w:rsid w:val="00330EB8"/>
    <w:rsid w:val="00332650"/>
    <w:rsid w:val="003332E7"/>
    <w:rsid w:val="003333FD"/>
    <w:rsid w:val="0033373F"/>
    <w:rsid w:val="00340189"/>
    <w:rsid w:val="00340F80"/>
    <w:rsid w:val="0034396D"/>
    <w:rsid w:val="00344518"/>
    <w:rsid w:val="00345197"/>
    <w:rsid w:val="00345265"/>
    <w:rsid w:val="003456E3"/>
    <w:rsid w:val="003461C8"/>
    <w:rsid w:val="0034639A"/>
    <w:rsid w:val="00346C2E"/>
    <w:rsid w:val="003473FC"/>
    <w:rsid w:val="00347872"/>
    <w:rsid w:val="003505C2"/>
    <w:rsid w:val="003527C2"/>
    <w:rsid w:val="0035350A"/>
    <w:rsid w:val="00354765"/>
    <w:rsid w:val="00354925"/>
    <w:rsid w:val="00354B6E"/>
    <w:rsid w:val="0035593C"/>
    <w:rsid w:val="003562DA"/>
    <w:rsid w:val="00356B97"/>
    <w:rsid w:val="00356D93"/>
    <w:rsid w:val="00357254"/>
    <w:rsid w:val="00360E82"/>
    <w:rsid w:val="00361625"/>
    <w:rsid w:val="00362211"/>
    <w:rsid w:val="00362747"/>
    <w:rsid w:val="003639A7"/>
    <w:rsid w:val="00363EBE"/>
    <w:rsid w:val="00363ECB"/>
    <w:rsid w:val="003654EB"/>
    <w:rsid w:val="00365F75"/>
    <w:rsid w:val="0036627B"/>
    <w:rsid w:val="00366860"/>
    <w:rsid w:val="00370E5F"/>
    <w:rsid w:val="00372874"/>
    <w:rsid w:val="00372932"/>
    <w:rsid w:val="0037328C"/>
    <w:rsid w:val="00373A80"/>
    <w:rsid w:val="003740B3"/>
    <w:rsid w:val="00374103"/>
    <w:rsid w:val="00374A39"/>
    <w:rsid w:val="00374B15"/>
    <w:rsid w:val="00375166"/>
    <w:rsid w:val="00375D21"/>
    <w:rsid w:val="0037625C"/>
    <w:rsid w:val="00377460"/>
    <w:rsid w:val="0037798B"/>
    <w:rsid w:val="00380D55"/>
    <w:rsid w:val="003812E7"/>
    <w:rsid w:val="003813D7"/>
    <w:rsid w:val="00381E8F"/>
    <w:rsid w:val="003827FD"/>
    <w:rsid w:val="00384734"/>
    <w:rsid w:val="00384A7A"/>
    <w:rsid w:val="0038615E"/>
    <w:rsid w:val="003875A3"/>
    <w:rsid w:val="0038782B"/>
    <w:rsid w:val="003909B8"/>
    <w:rsid w:val="003910AE"/>
    <w:rsid w:val="00391FA8"/>
    <w:rsid w:val="00392D4D"/>
    <w:rsid w:val="00392DE8"/>
    <w:rsid w:val="00392ECF"/>
    <w:rsid w:val="003933E2"/>
    <w:rsid w:val="00394BD2"/>
    <w:rsid w:val="00395C21"/>
    <w:rsid w:val="00396DAE"/>
    <w:rsid w:val="00396F45"/>
    <w:rsid w:val="003A0763"/>
    <w:rsid w:val="003A1973"/>
    <w:rsid w:val="003A2DAF"/>
    <w:rsid w:val="003A2EEB"/>
    <w:rsid w:val="003A2FFF"/>
    <w:rsid w:val="003A535A"/>
    <w:rsid w:val="003B000A"/>
    <w:rsid w:val="003B3951"/>
    <w:rsid w:val="003B415F"/>
    <w:rsid w:val="003B4246"/>
    <w:rsid w:val="003B4ED7"/>
    <w:rsid w:val="003B63E2"/>
    <w:rsid w:val="003B754E"/>
    <w:rsid w:val="003C13BA"/>
    <w:rsid w:val="003C545F"/>
    <w:rsid w:val="003C5E12"/>
    <w:rsid w:val="003C5EB9"/>
    <w:rsid w:val="003C71B3"/>
    <w:rsid w:val="003C7802"/>
    <w:rsid w:val="003D001B"/>
    <w:rsid w:val="003D1410"/>
    <w:rsid w:val="003D174D"/>
    <w:rsid w:val="003D1DC5"/>
    <w:rsid w:val="003D1F78"/>
    <w:rsid w:val="003D1FB1"/>
    <w:rsid w:val="003D3BC7"/>
    <w:rsid w:val="003D3DC6"/>
    <w:rsid w:val="003D40A1"/>
    <w:rsid w:val="003D4518"/>
    <w:rsid w:val="003D4E5D"/>
    <w:rsid w:val="003D5628"/>
    <w:rsid w:val="003D6275"/>
    <w:rsid w:val="003D6CDF"/>
    <w:rsid w:val="003D7937"/>
    <w:rsid w:val="003D7F34"/>
    <w:rsid w:val="003E03EC"/>
    <w:rsid w:val="003E1504"/>
    <w:rsid w:val="003E1705"/>
    <w:rsid w:val="003E2610"/>
    <w:rsid w:val="003E3882"/>
    <w:rsid w:val="003E3ADB"/>
    <w:rsid w:val="003E51AF"/>
    <w:rsid w:val="003E55B3"/>
    <w:rsid w:val="003E6C14"/>
    <w:rsid w:val="003E7BD8"/>
    <w:rsid w:val="003F111C"/>
    <w:rsid w:val="003F399D"/>
    <w:rsid w:val="003F532D"/>
    <w:rsid w:val="003F5B73"/>
    <w:rsid w:val="003F6D5E"/>
    <w:rsid w:val="003F7958"/>
    <w:rsid w:val="003F7EEA"/>
    <w:rsid w:val="00402CF4"/>
    <w:rsid w:val="00404758"/>
    <w:rsid w:val="00404DD4"/>
    <w:rsid w:val="00407014"/>
    <w:rsid w:val="004076D3"/>
    <w:rsid w:val="00410992"/>
    <w:rsid w:val="004129A5"/>
    <w:rsid w:val="004157A0"/>
    <w:rsid w:val="00415C85"/>
    <w:rsid w:val="00416142"/>
    <w:rsid w:val="00416521"/>
    <w:rsid w:val="00417218"/>
    <w:rsid w:val="0041758C"/>
    <w:rsid w:val="00417A32"/>
    <w:rsid w:val="00422131"/>
    <w:rsid w:val="004223F7"/>
    <w:rsid w:val="004229EA"/>
    <w:rsid w:val="00422F7C"/>
    <w:rsid w:val="00423037"/>
    <w:rsid w:val="00423D13"/>
    <w:rsid w:val="004249BA"/>
    <w:rsid w:val="00424DF8"/>
    <w:rsid w:val="004250FE"/>
    <w:rsid w:val="00426971"/>
    <w:rsid w:val="00427E3C"/>
    <w:rsid w:val="00432307"/>
    <w:rsid w:val="00432624"/>
    <w:rsid w:val="00433016"/>
    <w:rsid w:val="004342A6"/>
    <w:rsid w:val="00434E3E"/>
    <w:rsid w:val="0043509A"/>
    <w:rsid w:val="0043538C"/>
    <w:rsid w:val="00436048"/>
    <w:rsid w:val="00440140"/>
    <w:rsid w:val="00440144"/>
    <w:rsid w:val="00440D93"/>
    <w:rsid w:val="00441504"/>
    <w:rsid w:val="00441F2D"/>
    <w:rsid w:val="00441F4C"/>
    <w:rsid w:val="0044282F"/>
    <w:rsid w:val="00442C7C"/>
    <w:rsid w:val="00447F70"/>
    <w:rsid w:val="00450721"/>
    <w:rsid w:val="004512C2"/>
    <w:rsid w:val="00452CE5"/>
    <w:rsid w:val="004543CB"/>
    <w:rsid w:val="00455903"/>
    <w:rsid w:val="0045649F"/>
    <w:rsid w:val="00463336"/>
    <w:rsid w:val="00463DD8"/>
    <w:rsid w:val="004643FE"/>
    <w:rsid w:val="00464624"/>
    <w:rsid w:val="00466211"/>
    <w:rsid w:val="0046725B"/>
    <w:rsid w:val="0046741B"/>
    <w:rsid w:val="00467FA7"/>
    <w:rsid w:val="00470093"/>
    <w:rsid w:val="00472F36"/>
    <w:rsid w:val="004733B0"/>
    <w:rsid w:val="00473FA8"/>
    <w:rsid w:val="0047464B"/>
    <w:rsid w:val="00474D57"/>
    <w:rsid w:val="00475A72"/>
    <w:rsid w:val="00475B8B"/>
    <w:rsid w:val="00475E67"/>
    <w:rsid w:val="00475F09"/>
    <w:rsid w:val="004760C0"/>
    <w:rsid w:val="004761DB"/>
    <w:rsid w:val="00476DFE"/>
    <w:rsid w:val="00477AFB"/>
    <w:rsid w:val="004803B0"/>
    <w:rsid w:val="004815E2"/>
    <w:rsid w:val="00485A95"/>
    <w:rsid w:val="004863B0"/>
    <w:rsid w:val="004914BC"/>
    <w:rsid w:val="00491542"/>
    <w:rsid w:val="00493440"/>
    <w:rsid w:val="00493A56"/>
    <w:rsid w:val="00495FAF"/>
    <w:rsid w:val="00497665"/>
    <w:rsid w:val="00497954"/>
    <w:rsid w:val="00497D4E"/>
    <w:rsid w:val="004A043F"/>
    <w:rsid w:val="004A13DE"/>
    <w:rsid w:val="004A260D"/>
    <w:rsid w:val="004A2836"/>
    <w:rsid w:val="004A3635"/>
    <w:rsid w:val="004A3EBC"/>
    <w:rsid w:val="004A55DB"/>
    <w:rsid w:val="004A705C"/>
    <w:rsid w:val="004A7582"/>
    <w:rsid w:val="004B1A4C"/>
    <w:rsid w:val="004B3A45"/>
    <w:rsid w:val="004B5A3F"/>
    <w:rsid w:val="004B5F50"/>
    <w:rsid w:val="004B5F86"/>
    <w:rsid w:val="004B69DB"/>
    <w:rsid w:val="004B6AA6"/>
    <w:rsid w:val="004B6E7C"/>
    <w:rsid w:val="004B7905"/>
    <w:rsid w:val="004C0974"/>
    <w:rsid w:val="004C0C89"/>
    <w:rsid w:val="004C0CDE"/>
    <w:rsid w:val="004C3A9E"/>
    <w:rsid w:val="004C53DB"/>
    <w:rsid w:val="004D0621"/>
    <w:rsid w:val="004D0A99"/>
    <w:rsid w:val="004D0D29"/>
    <w:rsid w:val="004D2D05"/>
    <w:rsid w:val="004D2D65"/>
    <w:rsid w:val="004D35F2"/>
    <w:rsid w:val="004D5A7D"/>
    <w:rsid w:val="004D6717"/>
    <w:rsid w:val="004D6F57"/>
    <w:rsid w:val="004D72B5"/>
    <w:rsid w:val="004D7397"/>
    <w:rsid w:val="004D7989"/>
    <w:rsid w:val="004E095B"/>
    <w:rsid w:val="004E0998"/>
    <w:rsid w:val="004E09C5"/>
    <w:rsid w:val="004E257B"/>
    <w:rsid w:val="004E37CF"/>
    <w:rsid w:val="004E49E3"/>
    <w:rsid w:val="004E5659"/>
    <w:rsid w:val="004E624C"/>
    <w:rsid w:val="004E699E"/>
    <w:rsid w:val="004E7EF5"/>
    <w:rsid w:val="004F11A8"/>
    <w:rsid w:val="004F1D49"/>
    <w:rsid w:val="004F3A7F"/>
    <w:rsid w:val="004F41DF"/>
    <w:rsid w:val="004F472D"/>
    <w:rsid w:val="004F5123"/>
    <w:rsid w:val="004F61CB"/>
    <w:rsid w:val="004F6F7E"/>
    <w:rsid w:val="004F7285"/>
    <w:rsid w:val="004F7EFD"/>
    <w:rsid w:val="005000F6"/>
    <w:rsid w:val="00500796"/>
    <w:rsid w:val="00500C36"/>
    <w:rsid w:val="005011D8"/>
    <w:rsid w:val="0050175B"/>
    <w:rsid w:val="00502B19"/>
    <w:rsid w:val="00502F37"/>
    <w:rsid w:val="00503528"/>
    <w:rsid w:val="00503930"/>
    <w:rsid w:val="00504685"/>
    <w:rsid w:val="00506365"/>
    <w:rsid w:val="00510496"/>
    <w:rsid w:val="00511DCC"/>
    <w:rsid w:val="00512664"/>
    <w:rsid w:val="0051349B"/>
    <w:rsid w:val="005147EE"/>
    <w:rsid w:val="0051482D"/>
    <w:rsid w:val="00520221"/>
    <w:rsid w:val="0052122F"/>
    <w:rsid w:val="0052198D"/>
    <w:rsid w:val="0052301C"/>
    <w:rsid w:val="00524CDD"/>
    <w:rsid w:val="005253C2"/>
    <w:rsid w:val="00525533"/>
    <w:rsid w:val="0052680A"/>
    <w:rsid w:val="00526B3F"/>
    <w:rsid w:val="00530DEC"/>
    <w:rsid w:val="00531188"/>
    <w:rsid w:val="00531A6A"/>
    <w:rsid w:val="00533683"/>
    <w:rsid w:val="005339F2"/>
    <w:rsid w:val="00534A6E"/>
    <w:rsid w:val="00536396"/>
    <w:rsid w:val="00537511"/>
    <w:rsid w:val="005375D5"/>
    <w:rsid w:val="005438E1"/>
    <w:rsid w:val="00543CAE"/>
    <w:rsid w:val="0054781D"/>
    <w:rsid w:val="00550197"/>
    <w:rsid w:val="00550CBF"/>
    <w:rsid w:val="00552A6A"/>
    <w:rsid w:val="005535BA"/>
    <w:rsid w:val="00553623"/>
    <w:rsid w:val="00553B84"/>
    <w:rsid w:val="00553BEC"/>
    <w:rsid w:val="00554ACD"/>
    <w:rsid w:val="005551F5"/>
    <w:rsid w:val="00557BC9"/>
    <w:rsid w:val="00560AA9"/>
    <w:rsid w:val="00562A9B"/>
    <w:rsid w:val="00565EA8"/>
    <w:rsid w:val="0056667C"/>
    <w:rsid w:val="005669E9"/>
    <w:rsid w:val="00567C62"/>
    <w:rsid w:val="00570907"/>
    <w:rsid w:val="00570B2D"/>
    <w:rsid w:val="00571542"/>
    <w:rsid w:val="00572630"/>
    <w:rsid w:val="00573A71"/>
    <w:rsid w:val="00574E5A"/>
    <w:rsid w:val="0057771D"/>
    <w:rsid w:val="005802F1"/>
    <w:rsid w:val="00581FB2"/>
    <w:rsid w:val="005824C6"/>
    <w:rsid w:val="00582B96"/>
    <w:rsid w:val="00582B99"/>
    <w:rsid w:val="0058388E"/>
    <w:rsid w:val="005857E3"/>
    <w:rsid w:val="00585E61"/>
    <w:rsid w:val="00587319"/>
    <w:rsid w:val="00590D7B"/>
    <w:rsid w:val="00591BF4"/>
    <w:rsid w:val="005932EA"/>
    <w:rsid w:val="00594CE5"/>
    <w:rsid w:val="00594D8F"/>
    <w:rsid w:val="005959AE"/>
    <w:rsid w:val="005963EA"/>
    <w:rsid w:val="005969EC"/>
    <w:rsid w:val="00596CF8"/>
    <w:rsid w:val="005971DE"/>
    <w:rsid w:val="005A0301"/>
    <w:rsid w:val="005A1A7A"/>
    <w:rsid w:val="005A27D4"/>
    <w:rsid w:val="005A3198"/>
    <w:rsid w:val="005A32F4"/>
    <w:rsid w:val="005A4F4F"/>
    <w:rsid w:val="005A5411"/>
    <w:rsid w:val="005B0860"/>
    <w:rsid w:val="005B2293"/>
    <w:rsid w:val="005B2677"/>
    <w:rsid w:val="005B3F67"/>
    <w:rsid w:val="005B597A"/>
    <w:rsid w:val="005B59E9"/>
    <w:rsid w:val="005B5CDC"/>
    <w:rsid w:val="005B69A6"/>
    <w:rsid w:val="005C0499"/>
    <w:rsid w:val="005C0DD3"/>
    <w:rsid w:val="005C118B"/>
    <w:rsid w:val="005C2191"/>
    <w:rsid w:val="005C2E10"/>
    <w:rsid w:val="005C376B"/>
    <w:rsid w:val="005C4319"/>
    <w:rsid w:val="005C522E"/>
    <w:rsid w:val="005C5FD6"/>
    <w:rsid w:val="005C6149"/>
    <w:rsid w:val="005D04E8"/>
    <w:rsid w:val="005D0938"/>
    <w:rsid w:val="005D1C87"/>
    <w:rsid w:val="005D2536"/>
    <w:rsid w:val="005D2B03"/>
    <w:rsid w:val="005D2BDA"/>
    <w:rsid w:val="005D2C26"/>
    <w:rsid w:val="005D2E98"/>
    <w:rsid w:val="005D5995"/>
    <w:rsid w:val="005D6620"/>
    <w:rsid w:val="005D6CA2"/>
    <w:rsid w:val="005E0850"/>
    <w:rsid w:val="005E1092"/>
    <w:rsid w:val="005E13B0"/>
    <w:rsid w:val="005E1A49"/>
    <w:rsid w:val="005E1C8D"/>
    <w:rsid w:val="005E242B"/>
    <w:rsid w:val="005E4CF7"/>
    <w:rsid w:val="005E7170"/>
    <w:rsid w:val="005E7C07"/>
    <w:rsid w:val="005F1555"/>
    <w:rsid w:val="005F1F9E"/>
    <w:rsid w:val="005F43E2"/>
    <w:rsid w:val="005F44F7"/>
    <w:rsid w:val="005F6003"/>
    <w:rsid w:val="005F67BE"/>
    <w:rsid w:val="00601019"/>
    <w:rsid w:val="006016A3"/>
    <w:rsid w:val="00602BD2"/>
    <w:rsid w:val="00602D3D"/>
    <w:rsid w:val="00603ED9"/>
    <w:rsid w:val="006048D6"/>
    <w:rsid w:val="00605B73"/>
    <w:rsid w:val="00605C38"/>
    <w:rsid w:val="00611500"/>
    <w:rsid w:val="006121EB"/>
    <w:rsid w:val="0061552D"/>
    <w:rsid w:val="006162D1"/>
    <w:rsid w:val="00623884"/>
    <w:rsid w:val="006243CF"/>
    <w:rsid w:val="0062584C"/>
    <w:rsid w:val="00631F35"/>
    <w:rsid w:val="0063259F"/>
    <w:rsid w:val="00632C6F"/>
    <w:rsid w:val="00637E78"/>
    <w:rsid w:val="0064005C"/>
    <w:rsid w:val="00640CB7"/>
    <w:rsid w:val="006413BD"/>
    <w:rsid w:val="00642EAF"/>
    <w:rsid w:val="00644905"/>
    <w:rsid w:val="00644982"/>
    <w:rsid w:val="00644D43"/>
    <w:rsid w:val="0064510C"/>
    <w:rsid w:val="00647BDE"/>
    <w:rsid w:val="00647C36"/>
    <w:rsid w:val="006500CF"/>
    <w:rsid w:val="006520A4"/>
    <w:rsid w:val="00652374"/>
    <w:rsid w:val="00652588"/>
    <w:rsid w:val="00652E22"/>
    <w:rsid w:val="00653F09"/>
    <w:rsid w:val="00655177"/>
    <w:rsid w:val="00655A77"/>
    <w:rsid w:val="00655E69"/>
    <w:rsid w:val="00656123"/>
    <w:rsid w:val="00657F88"/>
    <w:rsid w:val="0066020B"/>
    <w:rsid w:val="00660482"/>
    <w:rsid w:val="00660A60"/>
    <w:rsid w:val="006614FA"/>
    <w:rsid w:val="00661DF2"/>
    <w:rsid w:val="00662545"/>
    <w:rsid w:val="00662DF8"/>
    <w:rsid w:val="00663BC8"/>
    <w:rsid w:val="00664279"/>
    <w:rsid w:val="006642EB"/>
    <w:rsid w:val="0066627C"/>
    <w:rsid w:val="00666D4E"/>
    <w:rsid w:val="00667B1A"/>
    <w:rsid w:val="006702CD"/>
    <w:rsid w:val="00670C5A"/>
    <w:rsid w:val="00671555"/>
    <w:rsid w:val="0067229D"/>
    <w:rsid w:val="00673850"/>
    <w:rsid w:val="00673B2A"/>
    <w:rsid w:val="00674094"/>
    <w:rsid w:val="006750CD"/>
    <w:rsid w:val="00677368"/>
    <w:rsid w:val="00680298"/>
    <w:rsid w:val="00681FA1"/>
    <w:rsid w:val="0068451D"/>
    <w:rsid w:val="00684884"/>
    <w:rsid w:val="00684F5E"/>
    <w:rsid w:val="00685855"/>
    <w:rsid w:val="006858E8"/>
    <w:rsid w:val="00685902"/>
    <w:rsid w:val="0068682B"/>
    <w:rsid w:val="00687AE8"/>
    <w:rsid w:val="00687C13"/>
    <w:rsid w:val="00687C1F"/>
    <w:rsid w:val="006906BD"/>
    <w:rsid w:val="006906BF"/>
    <w:rsid w:val="00691C22"/>
    <w:rsid w:val="006920D3"/>
    <w:rsid w:val="00693DAD"/>
    <w:rsid w:val="0069433F"/>
    <w:rsid w:val="00694C94"/>
    <w:rsid w:val="00695278"/>
    <w:rsid w:val="00695F1B"/>
    <w:rsid w:val="00697390"/>
    <w:rsid w:val="006978A7"/>
    <w:rsid w:val="00697F34"/>
    <w:rsid w:val="006A0000"/>
    <w:rsid w:val="006A0B77"/>
    <w:rsid w:val="006A0FDD"/>
    <w:rsid w:val="006A1547"/>
    <w:rsid w:val="006A286A"/>
    <w:rsid w:val="006A511D"/>
    <w:rsid w:val="006A613E"/>
    <w:rsid w:val="006A760D"/>
    <w:rsid w:val="006B0CD7"/>
    <w:rsid w:val="006B1197"/>
    <w:rsid w:val="006B1C50"/>
    <w:rsid w:val="006B1F94"/>
    <w:rsid w:val="006B3621"/>
    <w:rsid w:val="006B3D69"/>
    <w:rsid w:val="006B5695"/>
    <w:rsid w:val="006B5789"/>
    <w:rsid w:val="006B616D"/>
    <w:rsid w:val="006B6598"/>
    <w:rsid w:val="006B77A9"/>
    <w:rsid w:val="006C1AE6"/>
    <w:rsid w:val="006C1D33"/>
    <w:rsid w:val="006C1DD1"/>
    <w:rsid w:val="006C2BD3"/>
    <w:rsid w:val="006C36BC"/>
    <w:rsid w:val="006C4484"/>
    <w:rsid w:val="006C457C"/>
    <w:rsid w:val="006C4DD9"/>
    <w:rsid w:val="006C5015"/>
    <w:rsid w:val="006C57F2"/>
    <w:rsid w:val="006C6936"/>
    <w:rsid w:val="006C7A8F"/>
    <w:rsid w:val="006D0144"/>
    <w:rsid w:val="006D0209"/>
    <w:rsid w:val="006D1166"/>
    <w:rsid w:val="006D1CEE"/>
    <w:rsid w:val="006D1E7E"/>
    <w:rsid w:val="006D205F"/>
    <w:rsid w:val="006D2166"/>
    <w:rsid w:val="006D25A1"/>
    <w:rsid w:val="006D32C0"/>
    <w:rsid w:val="006D3E7D"/>
    <w:rsid w:val="006D3E98"/>
    <w:rsid w:val="006D492C"/>
    <w:rsid w:val="006D4C18"/>
    <w:rsid w:val="006D51B6"/>
    <w:rsid w:val="006D66F3"/>
    <w:rsid w:val="006D6F60"/>
    <w:rsid w:val="006E0405"/>
    <w:rsid w:val="006E131F"/>
    <w:rsid w:val="006E2A01"/>
    <w:rsid w:val="006E2CAA"/>
    <w:rsid w:val="006E4CA2"/>
    <w:rsid w:val="006E6208"/>
    <w:rsid w:val="006E6D16"/>
    <w:rsid w:val="006F07F5"/>
    <w:rsid w:val="006F12B6"/>
    <w:rsid w:val="006F160A"/>
    <w:rsid w:val="006F2DFC"/>
    <w:rsid w:val="006F345F"/>
    <w:rsid w:val="006F46AF"/>
    <w:rsid w:val="006F520D"/>
    <w:rsid w:val="006F57A2"/>
    <w:rsid w:val="006F6CC9"/>
    <w:rsid w:val="00701F99"/>
    <w:rsid w:val="0070377A"/>
    <w:rsid w:val="007044F8"/>
    <w:rsid w:val="0070509D"/>
    <w:rsid w:val="00705354"/>
    <w:rsid w:val="00706512"/>
    <w:rsid w:val="00710F6E"/>
    <w:rsid w:val="0071165F"/>
    <w:rsid w:val="007129E7"/>
    <w:rsid w:val="00713423"/>
    <w:rsid w:val="00714027"/>
    <w:rsid w:val="00717731"/>
    <w:rsid w:val="007204D9"/>
    <w:rsid w:val="00720C3D"/>
    <w:rsid w:val="00722882"/>
    <w:rsid w:val="00723C49"/>
    <w:rsid w:val="007255EA"/>
    <w:rsid w:val="00725743"/>
    <w:rsid w:val="0072641C"/>
    <w:rsid w:val="00726BE5"/>
    <w:rsid w:val="00730459"/>
    <w:rsid w:val="007314E8"/>
    <w:rsid w:val="00732905"/>
    <w:rsid w:val="00732A21"/>
    <w:rsid w:val="007341A8"/>
    <w:rsid w:val="007346F0"/>
    <w:rsid w:val="00734FF0"/>
    <w:rsid w:val="007350CC"/>
    <w:rsid w:val="007358A9"/>
    <w:rsid w:val="00736DCD"/>
    <w:rsid w:val="00736EFA"/>
    <w:rsid w:val="00740332"/>
    <w:rsid w:val="0074046E"/>
    <w:rsid w:val="0074138A"/>
    <w:rsid w:val="0074144D"/>
    <w:rsid w:val="00741917"/>
    <w:rsid w:val="007439D1"/>
    <w:rsid w:val="00745624"/>
    <w:rsid w:val="007458CB"/>
    <w:rsid w:val="007462B7"/>
    <w:rsid w:val="0074687B"/>
    <w:rsid w:val="00750C6D"/>
    <w:rsid w:val="00750FD3"/>
    <w:rsid w:val="007511DD"/>
    <w:rsid w:val="00753570"/>
    <w:rsid w:val="00753C23"/>
    <w:rsid w:val="00753CBE"/>
    <w:rsid w:val="00754337"/>
    <w:rsid w:val="00754F3E"/>
    <w:rsid w:val="00755A8F"/>
    <w:rsid w:val="007574E7"/>
    <w:rsid w:val="007601F2"/>
    <w:rsid w:val="0076195A"/>
    <w:rsid w:val="00762598"/>
    <w:rsid w:val="00762E2E"/>
    <w:rsid w:val="00763AD1"/>
    <w:rsid w:val="00765683"/>
    <w:rsid w:val="00767922"/>
    <w:rsid w:val="007679D9"/>
    <w:rsid w:val="0077106B"/>
    <w:rsid w:val="00771B51"/>
    <w:rsid w:val="00774ABA"/>
    <w:rsid w:val="00775D60"/>
    <w:rsid w:val="00775ED6"/>
    <w:rsid w:val="00776009"/>
    <w:rsid w:val="007761A4"/>
    <w:rsid w:val="0077668D"/>
    <w:rsid w:val="00776709"/>
    <w:rsid w:val="00777003"/>
    <w:rsid w:val="007771AC"/>
    <w:rsid w:val="00780BC2"/>
    <w:rsid w:val="00781177"/>
    <w:rsid w:val="00783FC8"/>
    <w:rsid w:val="00786366"/>
    <w:rsid w:val="00786506"/>
    <w:rsid w:val="007867E0"/>
    <w:rsid w:val="00790A37"/>
    <w:rsid w:val="00790AA2"/>
    <w:rsid w:val="007911BB"/>
    <w:rsid w:val="00791247"/>
    <w:rsid w:val="0079190D"/>
    <w:rsid w:val="007922C2"/>
    <w:rsid w:val="007928BF"/>
    <w:rsid w:val="00794FC7"/>
    <w:rsid w:val="007951E5"/>
    <w:rsid w:val="0079639E"/>
    <w:rsid w:val="00796EF3"/>
    <w:rsid w:val="00797339"/>
    <w:rsid w:val="00797550"/>
    <w:rsid w:val="00797FAA"/>
    <w:rsid w:val="007A1E40"/>
    <w:rsid w:val="007A1E4F"/>
    <w:rsid w:val="007A1F02"/>
    <w:rsid w:val="007A29A4"/>
    <w:rsid w:val="007A30D1"/>
    <w:rsid w:val="007A3260"/>
    <w:rsid w:val="007A3A2A"/>
    <w:rsid w:val="007A3D39"/>
    <w:rsid w:val="007A3FFA"/>
    <w:rsid w:val="007A4375"/>
    <w:rsid w:val="007A4E25"/>
    <w:rsid w:val="007A6FAC"/>
    <w:rsid w:val="007A7231"/>
    <w:rsid w:val="007A7807"/>
    <w:rsid w:val="007A7D46"/>
    <w:rsid w:val="007B0792"/>
    <w:rsid w:val="007B15EE"/>
    <w:rsid w:val="007B2C2B"/>
    <w:rsid w:val="007B2DFE"/>
    <w:rsid w:val="007B2F78"/>
    <w:rsid w:val="007B377B"/>
    <w:rsid w:val="007B4D2E"/>
    <w:rsid w:val="007B548E"/>
    <w:rsid w:val="007B685C"/>
    <w:rsid w:val="007B6B30"/>
    <w:rsid w:val="007C2FF9"/>
    <w:rsid w:val="007C53FE"/>
    <w:rsid w:val="007D0EAB"/>
    <w:rsid w:val="007D12D7"/>
    <w:rsid w:val="007D640C"/>
    <w:rsid w:val="007D6C58"/>
    <w:rsid w:val="007D7831"/>
    <w:rsid w:val="007E0A6D"/>
    <w:rsid w:val="007E101F"/>
    <w:rsid w:val="007E19B4"/>
    <w:rsid w:val="007E1AC5"/>
    <w:rsid w:val="007E2AE9"/>
    <w:rsid w:val="007E44C7"/>
    <w:rsid w:val="007E5120"/>
    <w:rsid w:val="007E57FD"/>
    <w:rsid w:val="007E613F"/>
    <w:rsid w:val="007E627C"/>
    <w:rsid w:val="007E68DF"/>
    <w:rsid w:val="007E6A75"/>
    <w:rsid w:val="007E7DD5"/>
    <w:rsid w:val="007F06D0"/>
    <w:rsid w:val="007F256D"/>
    <w:rsid w:val="007F3BA7"/>
    <w:rsid w:val="007F3F43"/>
    <w:rsid w:val="007F530A"/>
    <w:rsid w:val="00800F99"/>
    <w:rsid w:val="00801D5B"/>
    <w:rsid w:val="00802F74"/>
    <w:rsid w:val="008038E9"/>
    <w:rsid w:val="008045BE"/>
    <w:rsid w:val="008045D8"/>
    <w:rsid w:val="00805D7A"/>
    <w:rsid w:val="00806323"/>
    <w:rsid w:val="0080660C"/>
    <w:rsid w:val="00806B0F"/>
    <w:rsid w:val="00806D39"/>
    <w:rsid w:val="00807181"/>
    <w:rsid w:val="008101DE"/>
    <w:rsid w:val="0081076A"/>
    <w:rsid w:val="0081174B"/>
    <w:rsid w:val="008123CE"/>
    <w:rsid w:val="00812592"/>
    <w:rsid w:val="0081275D"/>
    <w:rsid w:val="00813683"/>
    <w:rsid w:val="00813C04"/>
    <w:rsid w:val="008140FB"/>
    <w:rsid w:val="00816B60"/>
    <w:rsid w:val="008178A4"/>
    <w:rsid w:val="00817DF8"/>
    <w:rsid w:val="00817FE2"/>
    <w:rsid w:val="008237F1"/>
    <w:rsid w:val="00824292"/>
    <w:rsid w:val="00824388"/>
    <w:rsid w:val="00824D8D"/>
    <w:rsid w:val="00830701"/>
    <w:rsid w:val="00831C96"/>
    <w:rsid w:val="00831D55"/>
    <w:rsid w:val="00834A30"/>
    <w:rsid w:val="00834DE7"/>
    <w:rsid w:val="00835348"/>
    <w:rsid w:val="00835B77"/>
    <w:rsid w:val="00837B7C"/>
    <w:rsid w:val="008422BD"/>
    <w:rsid w:val="00842C27"/>
    <w:rsid w:val="00844A65"/>
    <w:rsid w:val="00845206"/>
    <w:rsid w:val="008457D8"/>
    <w:rsid w:val="00846069"/>
    <w:rsid w:val="008463DB"/>
    <w:rsid w:val="00846501"/>
    <w:rsid w:val="0084795A"/>
    <w:rsid w:val="00850302"/>
    <w:rsid w:val="00850C49"/>
    <w:rsid w:val="00850FCF"/>
    <w:rsid w:val="00851420"/>
    <w:rsid w:val="00851BD8"/>
    <w:rsid w:val="00851EB5"/>
    <w:rsid w:val="00851F33"/>
    <w:rsid w:val="0085357D"/>
    <w:rsid w:val="008551CA"/>
    <w:rsid w:val="008579CE"/>
    <w:rsid w:val="00860DEB"/>
    <w:rsid w:val="00861693"/>
    <w:rsid w:val="00861D10"/>
    <w:rsid w:val="00862884"/>
    <w:rsid w:val="008640DE"/>
    <w:rsid w:val="00867E2D"/>
    <w:rsid w:val="008708F7"/>
    <w:rsid w:val="00870994"/>
    <w:rsid w:val="008709E3"/>
    <w:rsid w:val="0087112A"/>
    <w:rsid w:val="0087131D"/>
    <w:rsid w:val="008720FD"/>
    <w:rsid w:val="00872419"/>
    <w:rsid w:val="008724AD"/>
    <w:rsid w:val="008765A7"/>
    <w:rsid w:val="00877AD9"/>
    <w:rsid w:val="008805B7"/>
    <w:rsid w:val="00881184"/>
    <w:rsid w:val="0088163C"/>
    <w:rsid w:val="00881D95"/>
    <w:rsid w:val="0088293A"/>
    <w:rsid w:val="00882F9E"/>
    <w:rsid w:val="0088309F"/>
    <w:rsid w:val="008830E0"/>
    <w:rsid w:val="00883160"/>
    <w:rsid w:val="00884CA0"/>
    <w:rsid w:val="008855E1"/>
    <w:rsid w:val="00885D56"/>
    <w:rsid w:val="008878FF"/>
    <w:rsid w:val="00892F96"/>
    <w:rsid w:val="00893B46"/>
    <w:rsid w:val="00893F66"/>
    <w:rsid w:val="00896506"/>
    <w:rsid w:val="00897679"/>
    <w:rsid w:val="00897A55"/>
    <w:rsid w:val="00897C36"/>
    <w:rsid w:val="008A013D"/>
    <w:rsid w:val="008A0E51"/>
    <w:rsid w:val="008A2F08"/>
    <w:rsid w:val="008A408D"/>
    <w:rsid w:val="008A5B12"/>
    <w:rsid w:val="008A5BAE"/>
    <w:rsid w:val="008A5F4F"/>
    <w:rsid w:val="008A6F1A"/>
    <w:rsid w:val="008B0BED"/>
    <w:rsid w:val="008B161F"/>
    <w:rsid w:val="008B1E0E"/>
    <w:rsid w:val="008B2396"/>
    <w:rsid w:val="008B2F14"/>
    <w:rsid w:val="008B53AF"/>
    <w:rsid w:val="008B66A8"/>
    <w:rsid w:val="008C1145"/>
    <w:rsid w:val="008C2602"/>
    <w:rsid w:val="008C381A"/>
    <w:rsid w:val="008C4B38"/>
    <w:rsid w:val="008C6B3A"/>
    <w:rsid w:val="008D003A"/>
    <w:rsid w:val="008D0071"/>
    <w:rsid w:val="008D0387"/>
    <w:rsid w:val="008D0A6E"/>
    <w:rsid w:val="008D26A0"/>
    <w:rsid w:val="008D3A1B"/>
    <w:rsid w:val="008D3B04"/>
    <w:rsid w:val="008D3FCE"/>
    <w:rsid w:val="008D47A7"/>
    <w:rsid w:val="008D5179"/>
    <w:rsid w:val="008D67EA"/>
    <w:rsid w:val="008E0028"/>
    <w:rsid w:val="008E04BB"/>
    <w:rsid w:val="008E08A1"/>
    <w:rsid w:val="008E0A85"/>
    <w:rsid w:val="008E11B6"/>
    <w:rsid w:val="008E17C0"/>
    <w:rsid w:val="008E21AE"/>
    <w:rsid w:val="008E6DEE"/>
    <w:rsid w:val="008E6E6B"/>
    <w:rsid w:val="008E79BD"/>
    <w:rsid w:val="008E7A08"/>
    <w:rsid w:val="008E7A9D"/>
    <w:rsid w:val="008E7AC7"/>
    <w:rsid w:val="008F0C5C"/>
    <w:rsid w:val="008F1889"/>
    <w:rsid w:val="008F18ED"/>
    <w:rsid w:val="008F1A47"/>
    <w:rsid w:val="008F28B8"/>
    <w:rsid w:val="008F3733"/>
    <w:rsid w:val="008F6998"/>
    <w:rsid w:val="008F71A5"/>
    <w:rsid w:val="008F78F1"/>
    <w:rsid w:val="008F7C76"/>
    <w:rsid w:val="00900EB1"/>
    <w:rsid w:val="009014BE"/>
    <w:rsid w:val="00901577"/>
    <w:rsid w:val="009019E2"/>
    <w:rsid w:val="00901B30"/>
    <w:rsid w:val="00901EF1"/>
    <w:rsid w:val="00902D25"/>
    <w:rsid w:val="00904B6F"/>
    <w:rsid w:val="00904CE3"/>
    <w:rsid w:val="00904D1E"/>
    <w:rsid w:val="009101A1"/>
    <w:rsid w:val="009105D1"/>
    <w:rsid w:val="00910F84"/>
    <w:rsid w:val="00913B40"/>
    <w:rsid w:val="00914367"/>
    <w:rsid w:val="00914656"/>
    <w:rsid w:val="00914EAA"/>
    <w:rsid w:val="0091531B"/>
    <w:rsid w:val="00915D5B"/>
    <w:rsid w:val="00916088"/>
    <w:rsid w:val="009215DD"/>
    <w:rsid w:val="00921A0F"/>
    <w:rsid w:val="0092311E"/>
    <w:rsid w:val="00930B81"/>
    <w:rsid w:val="0093123C"/>
    <w:rsid w:val="00931455"/>
    <w:rsid w:val="009353F7"/>
    <w:rsid w:val="0093562F"/>
    <w:rsid w:val="00936070"/>
    <w:rsid w:val="009372E8"/>
    <w:rsid w:val="00940015"/>
    <w:rsid w:val="00940614"/>
    <w:rsid w:val="00941978"/>
    <w:rsid w:val="00941A3F"/>
    <w:rsid w:val="00942B0B"/>
    <w:rsid w:val="009442E7"/>
    <w:rsid w:val="0094494A"/>
    <w:rsid w:val="0094668A"/>
    <w:rsid w:val="00946E0A"/>
    <w:rsid w:val="00947778"/>
    <w:rsid w:val="00947836"/>
    <w:rsid w:val="00947C85"/>
    <w:rsid w:val="0095016A"/>
    <w:rsid w:val="00950B44"/>
    <w:rsid w:val="00951421"/>
    <w:rsid w:val="009524FB"/>
    <w:rsid w:val="009525C6"/>
    <w:rsid w:val="00952B82"/>
    <w:rsid w:val="00953202"/>
    <w:rsid w:val="00953827"/>
    <w:rsid w:val="0095570A"/>
    <w:rsid w:val="00955C96"/>
    <w:rsid w:val="009560A1"/>
    <w:rsid w:val="0095691E"/>
    <w:rsid w:val="00956E1C"/>
    <w:rsid w:val="009575CF"/>
    <w:rsid w:val="00960A2A"/>
    <w:rsid w:val="009610DA"/>
    <w:rsid w:val="00961D8C"/>
    <w:rsid w:val="009628DF"/>
    <w:rsid w:val="00962F80"/>
    <w:rsid w:val="0096450C"/>
    <w:rsid w:val="0096514F"/>
    <w:rsid w:val="0096593B"/>
    <w:rsid w:val="009665F0"/>
    <w:rsid w:val="0096704F"/>
    <w:rsid w:val="009709D4"/>
    <w:rsid w:val="00970BC6"/>
    <w:rsid w:val="00970D99"/>
    <w:rsid w:val="00971A56"/>
    <w:rsid w:val="0097270E"/>
    <w:rsid w:val="00973410"/>
    <w:rsid w:val="00973AAF"/>
    <w:rsid w:val="00975508"/>
    <w:rsid w:val="00975FB3"/>
    <w:rsid w:val="00976046"/>
    <w:rsid w:val="00976C06"/>
    <w:rsid w:val="0097714B"/>
    <w:rsid w:val="00984134"/>
    <w:rsid w:val="009875EC"/>
    <w:rsid w:val="00991AFE"/>
    <w:rsid w:val="0099287D"/>
    <w:rsid w:val="00992DE6"/>
    <w:rsid w:val="00994A16"/>
    <w:rsid w:val="00995262"/>
    <w:rsid w:val="00997278"/>
    <w:rsid w:val="00997EC2"/>
    <w:rsid w:val="009A0501"/>
    <w:rsid w:val="009A0DFF"/>
    <w:rsid w:val="009A23FA"/>
    <w:rsid w:val="009A2CE8"/>
    <w:rsid w:val="009A4AD8"/>
    <w:rsid w:val="009A6BB8"/>
    <w:rsid w:val="009A75E2"/>
    <w:rsid w:val="009A76E3"/>
    <w:rsid w:val="009B078C"/>
    <w:rsid w:val="009B2E48"/>
    <w:rsid w:val="009B36FE"/>
    <w:rsid w:val="009B3BA2"/>
    <w:rsid w:val="009B4A20"/>
    <w:rsid w:val="009B6E44"/>
    <w:rsid w:val="009C1C5D"/>
    <w:rsid w:val="009C1E2D"/>
    <w:rsid w:val="009C2324"/>
    <w:rsid w:val="009C31FE"/>
    <w:rsid w:val="009C430C"/>
    <w:rsid w:val="009C43D7"/>
    <w:rsid w:val="009C466D"/>
    <w:rsid w:val="009C630E"/>
    <w:rsid w:val="009C6359"/>
    <w:rsid w:val="009C7C14"/>
    <w:rsid w:val="009D02C8"/>
    <w:rsid w:val="009D25A7"/>
    <w:rsid w:val="009D27AE"/>
    <w:rsid w:val="009D3214"/>
    <w:rsid w:val="009D5EEA"/>
    <w:rsid w:val="009D5EFF"/>
    <w:rsid w:val="009D73FB"/>
    <w:rsid w:val="009E12EA"/>
    <w:rsid w:val="009E2BBA"/>
    <w:rsid w:val="009E3080"/>
    <w:rsid w:val="009E365C"/>
    <w:rsid w:val="009E368F"/>
    <w:rsid w:val="009E3ED9"/>
    <w:rsid w:val="009E47A5"/>
    <w:rsid w:val="009E54B3"/>
    <w:rsid w:val="009E6422"/>
    <w:rsid w:val="009F0921"/>
    <w:rsid w:val="009F2468"/>
    <w:rsid w:val="009F33B9"/>
    <w:rsid w:val="009F48D6"/>
    <w:rsid w:val="009F4BB3"/>
    <w:rsid w:val="009F5382"/>
    <w:rsid w:val="009F67EF"/>
    <w:rsid w:val="009F6CFD"/>
    <w:rsid w:val="009F6E39"/>
    <w:rsid w:val="00A00A89"/>
    <w:rsid w:val="00A010C7"/>
    <w:rsid w:val="00A01C09"/>
    <w:rsid w:val="00A01F3E"/>
    <w:rsid w:val="00A01F81"/>
    <w:rsid w:val="00A02919"/>
    <w:rsid w:val="00A02D87"/>
    <w:rsid w:val="00A05B6F"/>
    <w:rsid w:val="00A0696C"/>
    <w:rsid w:val="00A06F3B"/>
    <w:rsid w:val="00A108E2"/>
    <w:rsid w:val="00A12B68"/>
    <w:rsid w:val="00A130B6"/>
    <w:rsid w:val="00A13598"/>
    <w:rsid w:val="00A1394C"/>
    <w:rsid w:val="00A1552B"/>
    <w:rsid w:val="00A16251"/>
    <w:rsid w:val="00A17005"/>
    <w:rsid w:val="00A17106"/>
    <w:rsid w:val="00A20451"/>
    <w:rsid w:val="00A204EE"/>
    <w:rsid w:val="00A20F8B"/>
    <w:rsid w:val="00A217C9"/>
    <w:rsid w:val="00A21967"/>
    <w:rsid w:val="00A21C51"/>
    <w:rsid w:val="00A22301"/>
    <w:rsid w:val="00A2337E"/>
    <w:rsid w:val="00A2344B"/>
    <w:rsid w:val="00A24084"/>
    <w:rsid w:val="00A2596A"/>
    <w:rsid w:val="00A26542"/>
    <w:rsid w:val="00A300D8"/>
    <w:rsid w:val="00A30200"/>
    <w:rsid w:val="00A30EF0"/>
    <w:rsid w:val="00A32C7A"/>
    <w:rsid w:val="00A32EB8"/>
    <w:rsid w:val="00A337C5"/>
    <w:rsid w:val="00A338BC"/>
    <w:rsid w:val="00A33CF6"/>
    <w:rsid w:val="00A344C5"/>
    <w:rsid w:val="00A34CCC"/>
    <w:rsid w:val="00A35431"/>
    <w:rsid w:val="00A35C43"/>
    <w:rsid w:val="00A36948"/>
    <w:rsid w:val="00A3779B"/>
    <w:rsid w:val="00A37AFB"/>
    <w:rsid w:val="00A37F16"/>
    <w:rsid w:val="00A40771"/>
    <w:rsid w:val="00A40ED1"/>
    <w:rsid w:val="00A41304"/>
    <w:rsid w:val="00A44581"/>
    <w:rsid w:val="00A4563F"/>
    <w:rsid w:val="00A46963"/>
    <w:rsid w:val="00A46A88"/>
    <w:rsid w:val="00A51D31"/>
    <w:rsid w:val="00A52E67"/>
    <w:rsid w:val="00A52ED3"/>
    <w:rsid w:val="00A536E8"/>
    <w:rsid w:val="00A5510F"/>
    <w:rsid w:val="00A5761B"/>
    <w:rsid w:val="00A57836"/>
    <w:rsid w:val="00A57CD2"/>
    <w:rsid w:val="00A60D0A"/>
    <w:rsid w:val="00A652A6"/>
    <w:rsid w:val="00A65EFD"/>
    <w:rsid w:val="00A70040"/>
    <w:rsid w:val="00A70E12"/>
    <w:rsid w:val="00A72099"/>
    <w:rsid w:val="00A72E47"/>
    <w:rsid w:val="00A72F84"/>
    <w:rsid w:val="00A73324"/>
    <w:rsid w:val="00A76630"/>
    <w:rsid w:val="00A76C31"/>
    <w:rsid w:val="00A7713F"/>
    <w:rsid w:val="00A77E68"/>
    <w:rsid w:val="00A800F8"/>
    <w:rsid w:val="00A802B5"/>
    <w:rsid w:val="00A8134E"/>
    <w:rsid w:val="00A817FF"/>
    <w:rsid w:val="00A8193D"/>
    <w:rsid w:val="00A81AA1"/>
    <w:rsid w:val="00A82A38"/>
    <w:rsid w:val="00A84947"/>
    <w:rsid w:val="00A85B48"/>
    <w:rsid w:val="00A8610D"/>
    <w:rsid w:val="00A87B03"/>
    <w:rsid w:val="00A87BA2"/>
    <w:rsid w:val="00A90E18"/>
    <w:rsid w:val="00A9188E"/>
    <w:rsid w:val="00A91C3E"/>
    <w:rsid w:val="00A93FF0"/>
    <w:rsid w:val="00A94650"/>
    <w:rsid w:val="00A949C7"/>
    <w:rsid w:val="00A968C1"/>
    <w:rsid w:val="00A974A1"/>
    <w:rsid w:val="00A97C6A"/>
    <w:rsid w:val="00AA0DB6"/>
    <w:rsid w:val="00AA13EF"/>
    <w:rsid w:val="00AA1FEA"/>
    <w:rsid w:val="00AA218F"/>
    <w:rsid w:val="00AA5CE4"/>
    <w:rsid w:val="00AA661E"/>
    <w:rsid w:val="00AA73B6"/>
    <w:rsid w:val="00AA7B6F"/>
    <w:rsid w:val="00AB11D8"/>
    <w:rsid w:val="00AB1208"/>
    <w:rsid w:val="00AB2EC0"/>
    <w:rsid w:val="00AB385A"/>
    <w:rsid w:val="00AB3CF1"/>
    <w:rsid w:val="00AB41E7"/>
    <w:rsid w:val="00AB422B"/>
    <w:rsid w:val="00AB4641"/>
    <w:rsid w:val="00AB5E61"/>
    <w:rsid w:val="00AB6D6F"/>
    <w:rsid w:val="00AB7A03"/>
    <w:rsid w:val="00AB7CC2"/>
    <w:rsid w:val="00AC0AF6"/>
    <w:rsid w:val="00AC1302"/>
    <w:rsid w:val="00AC17B0"/>
    <w:rsid w:val="00AC1AF7"/>
    <w:rsid w:val="00AC2BDF"/>
    <w:rsid w:val="00AC2D65"/>
    <w:rsid w:val="00AC314B"/>
    <w:rsid w:val="00AC47A7"/>
    <w:rsid w:val="00AC488F"/>
    <w:rsid w:val="00AC49F9"/>
    <w:rsid w:val="00AC4C25"/>
    <w:rsid w:val="00AC4D6D"/>
    <w:rsid w:val="00AC76EA"/>
    <w:rsid w:val="00AC7BF1"/>
    <w:rsid w:val="00AD0805"/>
    <w:rsid w:val="00AD14D0"/>
    <w:rsid w:val="00AD1F6D"/>
    <w:rsid w:val="00AD5716"/>
    <w:rsid w:val="00AD5901"/>
    <w:rsid w:val="00AD71A7"/>
    <w:rsid w:val="00AE1932"/>
    <w:rsid w:val="00AE23B3"/>
    <w:rsid w:val="00AE3C5F"/>
    <w:rsid w:val="00AE45A1"/>
    <w:rsid w:val="00AE627F"/>
    <w:rsid w:val="00AE691B"/>
    <w:rsid w:val="00AE6F5F"/>
    <w:rsid w:val="00AE6FBE"/>
    <w:rsid w:val="00AE77B0"/>
    <w:rsid w:val="00AF02DF"/>
    <w:rsid w:val="00AF1A7E"/>
    <w:rsid w:val="00AF1DCF"/>
    <w:rsid w:val="00AF3569"/>
    <w:rsid w:val="00AF38CE"/>
    <w:rsid w:val="00AF464B"/>
    <w:rsid w:val="00AF55CD"/>
    <w:rsid w:val="00AF6C0C"/>
    <w:rsid w:val="00AF6C92"/>
    <w:rsid w:val="00AF753B"/>
    <w:rsid w:val="00B01769"/>
    <w:rsid w:val="00B01D28"/>
    <w:rsid w:val="00B01F1F"/>
    <w:rsid w:val="00B02F0B"/>
    <w:rsid w:val="00B0324B"/>
    <w:rsid w:val="00B043B6"/>
    <w:rsid w:val="00B05432"/>
    <w:rsid w:val="00B075C7"/>
    <w:rsid w:val="00B10C00"/>
    <w:rsid w:val="00B11EBB"/>
    <w:rsid w:val="00B11F9B"/>
    <w:rsid w:val="00B1389D"/>
    <w:rsid w:val="00B14228"/>
    <w:rsid w:val="00B16120"/>
    <w:rsid w:val="00B17AB4"/>
    <w:rsid w:val="00B2109B"/>
    <w:rsid w:val="00B213BD"/>
    <w:rsid w:val="00B21491"/>
    <w:rsid w:val="00B23153"/>
    <w:rsid w:val="00B234A1"/>
    <w:rsid w:val="00B24280"/>
    <w:rsid w:val="00B25B61"/>
    <w:rsid w:val="00B2689E"/>
    <w:rsid w:val="00B31D1A"/>
    <w:rsid w:val="00B32937"/>
    <w:rsid w:val="00B32BD0"/>
    <w:rsid w:val="00B35193"/>
    <w:rsid w:val="00B368D9"/>
    <w:rsid w:val="00B36F32"/>
    <w:rsid w:val="00B37910"/>
    <w:rsid w:val="00B403F6"/>
    <w:rsid w:val="00B4213D"/>
    <w:rsid w:val="00B42949"/>
    <w:rsid w:val="00B4377D"/>
    <w:rsid w:val="00B44276"/>
    <w:rsid w:val="00B45375"/>
    <w:rsid w:val="00B45687"/>
    <w:rsid w:val="00B45C03"/>
    <w:rsid w:val="00B46CA2"/>
    <w:rsid w:val="00B47890"/>
    <w:rsid w:val="00B478E9"/>
    <w:rsid w:val="00B5157A"/>
    <w:rsid w:val="00B518B0"/>
    <w:rsid w:val="00B51FB2"/>
    <w:rsid w:val="00B5280B"/>
    <w:rsid w:val="00B53124"/>
    <w:rsid w:val="00B55202"/>
    <w:rsid w:val="00B57D85"/>
    <w:rsid w:val="00B616B6"/>
    <w:rsid w:val="00B62880"/>
    <w:rsid w:val="00B6354C"/>
    <w:rsid w:val="00B63895"/>
    <w:rsid w:val="00B64453"/>
    <w:rsid w:val="00B64D5C"/>
    <w:rsid w:val="00B656E8"/>
    <w:rsid w:val="00B67DCA"/>
    <w:rsid w:val="00B708F8"/>
    <w:rsid w:val="00B70CBC"/>
    <w:rsid w:val="00B70D3D"/>
    <w:rsid w:val="00B7168A"/>
    <w:rsid w:val="00B73024"/>
    <w:rsid w:val="00B7373E"/>
    <w:rsid w:val="00B73946"/>
    <w:rsid w:val="00B7478F"/>
    <w:rsid w:val="00B80A8A"/>
    <w:rsid w:val="00B82811"/>
    <w:rsid w:val="00B840D4"/>
    <w:rsid w:val="00B87828"/>
    <w:rsid w:val="00B903E9"/>
    <w:rsid w:val="00B9070F"/>
    <w:rsid w:val="00B921A2"/>
    <w:rsid w:val="00B923A0"/>
    <w:rsid w:val="00B92503"/>
    <w:rsid w:val="00B92CA9"/>
    <w:rsid w:val="00B938D6"/>
    <w:rsid w:val="00B949B0"/>
    <w:rsid w:val="00BA16B5"/>
    <w:rsid w:val="00BA19F3"/>
    <w:rsid w:val="00BA1CEB"/>
    <w:rsid w:val="00BA2DE1"/>
    <w:rsid w:val="00BA3A8A"/>
    <w:rsid w:val="00BA4F7D"/>
    <w:rsid w:val="00BA59B6"/>
    <w:rsid w:val="00BA5C95"/>
    <w:rsid w:val="00BA6E69"/>
    <w:rsid w:val="00BA726E"/>
    <w:rsid w:val="00BB0869"/>
    <w:rsid w:val="00BB0EAB"/>
    <w:rsid w:val="00BB1807"/>
    <w:rsid w:val="00BB2E1D"/>
    <w:rsid w:val="00BB30B6"/>
    <w:rsid w:val="00BB395F"/>
    <w:rsid w:val="00BB4EEA"/>
    <w:rsid w:val="00BB50EF"/>
    <w:rsid w:val="00BB6D62"/>
    <w:rsid w:val="00BC0290"/>
    <w:rsid w:val="00BC12A5"/>
    <w:rsid w:val="00BC14B0"/>
    <w:rsid w:val="00BC1A91"/>
    <w:rsid w:val="00BC2416"/>
    <w:rsid w:val="00BC32A6"/>
    <w:rsid w:val="00BC4010"/>
    <w:rsid w:val="00BC4046"/>
    <w:rsid w:val="00BC41B9"/>
    <w:rsid w:val="00BC4D72"/>
    <w:rsid w:val="00BC4DC0"/>
    <w:rsid w:val="00BC7C28"/>
    <w:rsid w:val="00BD1333"/>
    <w:rsid w:val="00BD1FC6"/>
    <w:rsid w:val="00BD2796"/>
    <w:rsid w:val="00BD282A"/>
    <w:rsid w:val="00BD4269"/>
    <w:rsid w:val="00BD5948"/>
    <w:rsid w:val="00BD65B7"/>
    <w:rsid w:val="00BD7760"/>
    <w:rsid w:val="00BE1BCC"/>
    <w:rsid w:val="00BE1FA2"/>
    <w:rsid w:val="00BE23B3"/>
    <w:rsid w:val="00BE2BA3"/>
    <w:rsid w:val="00BE34E2"/>
    <w:rsid w:val="00BE5529"/>
    <w:rsid w:val="00BE5DE3"/>
    <w:rsid w:val="00BE62D6"/>
    <w:rsid w:val="00BE70E9"/>
    <w:rsid w:val="00BE7628"/>
    <w:rsid w:val="00BE7C5C"/>
    <w:rsid w:val="00BE7C97"/>
    <w:rsid w:val="00BF1027"/>
    <w:rsid w:val="00BF3356"/>
    <w:rsid w:val="00BF3A2E"/>
    <w:rsid w:val="00BF4047"/>
    <w:rsid w:val="00BF410C"/>
    <w:rsid w:val="00BF4235"/>
    <w:rsid w:val="00BF4C3A"/>
    <w:rsid w:val="00C00860"/>
    <w:rsid w:val="00C01EEA"/>
    <w:rsid w:val="00C02C7E"/>
    <w:rsid w:val="00C03922"/>
    <w:rsid w:val="00C044D5"/>
    <w:rsid w:val="00C04E15"/>
    <w:rsid w:val="00C056DC"/>
    <w:rsid w:val="00C07B8E"/>
    <w:rsid w:val="00C10E08"/>
    <w:rsid w:val="00C11826"/>
    <w:rsid w:val="00C1202F"/>
    <w:rsid w:val="00C13CCB"/>
    <w:rsid w:val="00C14523"/>
    <w:rsid w:val="00C147F5"/>
    <w:rsid w:val="00C14830"/>
    <w:rsid w:val="00C14C18"/>
    <w:rsid w:val="00C14CB3"/>
    <w:rsid w:val="00C1560A"/>
    <w:rsid w:val="00C15F42"/>
    <w:rsid w:val="00C16ED0"/>
    <w:rsid w:val="00C21CBF"/>
    <w:rsid w:val="00C222E2"/>
    <w:rsid w:val="00C234FF"/>
    <w:rsid w:val="00C23F08"/>
    <w:rsid w:val="00C26C8C"/>
    <w:rsid w:val="00C26DDA"/>
    <w:rsid w:val="00C310B4"/>
    <w:rsid w:val="00C3347E"/>
    <w:rsid w:val="00C3539E"/>
    <w:rsid w:val="00C35B8F"/>
    <w:rsid w:val="00C374B1"/>
    <w:rsid w:val="00C379DA"/>
    <w:rsid w:val="00C41266"/>
    <w:rsid w:val="00C43126"/>
    <w:rsid w:val="00C442F5"/>
    <w:rsid w:val="00C443AA"/>
    <w:rsid w:val="00C45781"/>
    <w:rsid w:val="00C459BB"/>
    <w:rsid w:val="00C462A5"/>
    <w:rsid w:val="00C46CBF"/>
    <w:rsid w:val="00C4778A"/>
    <w:rsid w:val="00C51D14"/>
    <w:rsid w:val="00C521A0"/>
    <w:rsid w:val="00C52D3E"/>
    <w:rsid w:val="00C53C5F"/>
    <w:rsid w:val="00C54044"/>
    <w:rsid w:val="00C54DB7"/>
    <w:rsid w:val="00C5519E"/>
    <w:rsid w:val="00C55701"/>
    <w:rsid w:val="00C55B78"/>
    <w:rsid w:val="00C57F9F"/>
    <w:rsid w:val="00C601F3"/>
    <w:rsid w:val="00C61496"/>
    <w:rsid w:val="00C61BDC"/>
    <w:rsid w:val="00C61CED"/>
    <w:rsid w:val="00C61D3B"/>
    <w:rsid w:val="00C62616"/>
    <w:rsid w:val="00C6315E"/>
    <w:rsid w:val="00C6381B"/>
    <w:rsid w:val="00C64155"/>
    <w:rsid w:val="00C64CA0"/>
    <w:rsid w:val="00C65B0F"/>
    <w:rsid w:val="00C67961"/>
    <w:rsid w:val="00C67DD0"/>
    <w:rsid w:val="00C702E7"/>
    <w:rsid w:val="00C7034B"/>
    <w:rsid w:val="00C725FC"/>
    <w:rsid w:val="00C738B9"/>
    <w:rsid w:val="00C739F0"/>
    <w:rsid w:val="00C73AAC"/>
    <w:rsid w:val="00C74C13"/>
    <w:rsid w:val="00C74D18"/>
    <w:rsid w:val="00C7525C"/>
    <w:rsid w:val="00C76DE7"/>
    <w:rsid w:val="00C77CA9"/>
    <w:rsid w:val="00C80376"/>
    <w:rsid w:val="00C8094B"/>
    <w:rsid w:val="00C815DE"/>
    <w:rsid w:val="00C820CB"/>
    <w:rsid w:val="00C847DA"/>
    <w:rsid w:val="00C86113"/>
    <w:rsid w:val="00C86276"/>
    <w:rsid w:val="00C86320"/>
    <w:rsid w:val="00C87422"/>
    <w:rsid w:val="00C87476"/>
    <w:rsid w:val="00C902CE"/>
    <w:rsid w:val="00C903DC"/>
    <w:rsid w:val="00C90645"/>
    <w:rsid w:val="00C90EB5"/>
    <w:rsid w:val="00C926AE"/>
    <w:rsid w:val="00C92E5B"/>
    <w:rsid w:val="00C945A2"/>
    <w:rsid w:val="00C94ADF"/>
    <w:rsid w:val="00C959DE"/>
    <w:rsid w:val="00C96540"/>
    <w:rsid w:val="00C97F98"/>
    <w:rsid w:val="00CA0026"/>
    <w:rsid w:val="00CA03B0"/>
    <w:rsid w:val="00CA2A22"/>
    <w:rsid w:val="00CA41E0"/>
    <w:rsid w:val="00CA4444"/>
    <w:rsid w:val="00CA4A6C"/>
    <w:rsid w:val="00CA534F"/>
    <w:rsid w:val="00CA64EB"/>
    <w:rsid w:val="00CA6536"/>
    <w:rsid w:val="00CA6DF7"/>
    <w:rsid w:val="00CB1555"/>
    <w:rsid w:val="00CB1619"/>
    <w:rsid w:val="00CB19D6"/>
    <w:rsid w:val="00CB1FF4"/>
    <w:rsid w:val="00CB24BE"/>
    <w:rsid w:val="00CB3CB2"/>
    <w:rsid w:val="00CC0E7C"/>
    <w:rsid w:val="00CC1050"/>
    <w:rsid w:val="00CC106D"/>
    <w:rsid w:val="00CC1A51"/>
    <w:rsid w:val="00CC266C"/>
    <w:rsid w:val="00CC3385"/>
    <w:rsid w:val="00CC4360"/>
    <w:rsid w:val="00CC46C4"/>
    <w:rsid w:val="00CC519C"/>
    <w:rsid w:val="00CC57BA"/>
    <w:rsid w:val="00CC61CB"/>
    <w:rsid w:val="00CC6AE7"/>
    <w:rsid w:val="00CC6B0C"/>
    <w:rsid w:val="00CC6C7C"/>
    <w:rsid w:val="00CD07B6"/>
    <w:rsid w:val="00CD0CB0"/>
    <w:rsid w:val="00CD11F9"/>
    <w:rsid w:val="00CD28AB"/>
    <w:rsid w:val="00CD2F15"/>
    <w:rsid w:val="00CD35A5"/>
    <w:rsid w:val="00CD374D"/>
    <w:rsid w:val="00CD45B9"/>
    <w:rsid w:val="00CD5F9B"/>
    <w:rsid w:val="00CD6E23"/>
    <w:rsid w:val="00CD7C24"/>
    <w:rsid w:val="00CD7D53"/>
    <w:rsid w:val="00CE031E"/>
    <w:rsid w:val="00CE1D17"/>
    <w:rsid w:val="00CE28B2"/>
    <w:rsid w:val="00CE2961"/>
    <w:rsid w:val="00CE391E"/>
    <w:rsid w:val="00CE3BA6"/>
    <w:rsid w:val="00CE3C2E"/>
    <w:rsid w:val="00CE4DDA"/>
    <w:rsid w:val="00CE53F4"/>
    <w:rsid w:val="00CE6660"/>
    <w:rsid w:val="00CF2119"/>
    <w:rsid w:val="00CF3183"/>
    <w:rsid w:val="00CF37A7"/>
    <w:rsid w:val="00CF394C"/>
    <w:rsid w:val="00CF4CC8"/>
    <w:rsid w:val="00CF574F"/>
    <w:rsid w:val="00CF5851"/>
    <w:rsid w:val="00CF5FFB"/>
    <w:rsid w:val="00CF61BA"/>
    <w:rsid w:val="00CF67BE"/>
    <w:rsid w:val="00D01547"/>
    <w:rsid w:val="00D02CF2"/>
    <w:rsid w:val="00D02CF8"/>
    <w:rsid w:val="00D0304B"/>
    <w:rsid w:val="00D03119"/>
    <w:rsid w:val="00D056EB"/>
    <w:rsid w:val="00D05826"/>
    <w:rsid w:val="00D05A87"/>
    <w:rsid w:val="00D05DDB"/>
    <w:rsid w:val="00D07979"/>
    <w:rsid w:val="00D10D5C"/>
    <w:rsid w:val="00D11101"/>
    <w:rsid w:val="00D148B1"/>
    <w:rsid w:val="00D14BE7"/>
    <w:rsid w:val="00D15150"/>
    <w:rsid w:val="00D168FC"/>
    <w:rsid w:val="00D1782F"/>
    <w:rsid w:val="00D2102E"/>
    <w:rsid w:val="00D213DB"/>
    <w:rsid w:val="00D21D9D"/>
    <w:rsid w:val="00D21FEA"/>
    <w:rsid w:val="00D235EF"/>
    <w:rsid w:val="00D239B7"/>
    <w:rsid w:val="00D2459C"/>
    <w:rsid w:val="00D24B65"/>
    <w:rsid w:val="00D25179"/>
    <w:rsid w:val="00D26403"/>
    <w:rsid w:val="00D27705"/>
    <w:rsid w:val="00D27E64"/>
    <w:rsid w:val="00D309CA"/>
    <w:rsid w:val="00D314FD"/>
    <w:rsid w:val="00D317B3"/>
    <w:rsid w:val="00D322F2"/>
    <w:rsid w:val="00D32F9C"/>
    <w:rsid w:val="00D34FB2"/>
    <w:rsid w:val="00D35368"/>
    <w:rsid w:val="00D36B19"/>
    <w:rsid w:val="00D36D66"/>
    <w:rsid w:val="00D37AFB"/>
    <w:rsid w:val="00D37DB9"/>
    <w:rsid w:val="00D4070A"/>
    <w:rsid w:val="00D4093A"/>
    <w:rsid w:val="00D411D0"/>
    <w:rsid w:val="00D419A1"/>
    <w:rsid w:val="00D43869"/>
    <w:rsid w:val="00D43E4D"/>
    <w:rsid w:val="00D446A2"/>
    <w:rsid w:val="00D4618D"/>
    <w:rsid w:val="00D461F8"/>
    <w:rsid w:val="00D4690F"/>
    <w:rsid w:val="00D53729"/>
    <w:rsid w:val="00D54ABB"/>
    <w:rsid w:val="00D55786"/>
    <w:rsid w:val="00D55BC1"/>
    <w:rsid w:val="00D55FDA"/>
    <w:rsid w:val="00D57FEF"/>
    <w:rsid w:val="00D6179F"/>
    <w:rsid w:val="00D61AF2"/>
    <w:rsid w:val="00D62084"/>
    <w:rsid w:val="00D630D9"/>
    <w:rsid w:val="00D640B4"/>
    <w:rsid w:val="00D64328"/>
    <w:rsid w:val="00D665A6"/>
    <w:rsid w:val="00D66E56"/>
    <w:rsid w:val="00D67A0A"/>
    <w:rsid w:val="00D74726"/>
    <w:rsid w:val="00D75061"/>
    <w:rsid w:val="00D7575E"/>
    <w:rsid w:val="00D75BA3"/>
    <w:rsid w:val="00D75F6D"/>
    <w:rsid w:val="00D7601A"/>
    <w:rsid w:val="00D77632"/>
    <w:rsid w:val="00D802B5"/>
    <w:rsid w:val="00D80A8E"/>
    <w:rsid w:val="00D826B9"/>
    <w:rsid w:val="00D846C6"/>
    <w:rsid w:val="00D851DB"/>
    <w:rsid w:val="00D858B9"/>
    <w:rsid w:val="00D86354"/>
    <w:rsid w:val="00D864E5"/>
    <w:rsid w:val="00D86B59"/>
    <w:rsid w:val="00D90D6B"/>
    <w:rsid w:val="00D91318"/>
    <w:rsid w:val="00D9142E"/>
    <w:rsid w:val="00D91FAF"/>
    <w:rsid w:val="00D9209E"/>
    <w:rsid w:val="00D93072"/>
    <w:rsid w:val="00D930C6"/>
    <w:rsid w:val="00D93729"/>
    <w:rsid w:val="00D93C38"/>
    <w:rsid w:val="00D93E74"/>
    <w:rsid w:val="00D95DE2"/>
    <w:rsid w:val="00D96339"/>
    <w:rsid w:val="00D96AAA"/>
    <w:rsid w:val="00DA112B"/>
    <w:rsid w:val="00DA58C4"/>
    <w:rsid w:val="00DA60CF"/>
    <w:rsid w:val="00DA7958"/>
    <w:rsid w:val="00DB2022"/>
    <w:rsid w:val="00DB3B22"/>
    <w:rsid w:val="00DB5831"/>
    <w:rsid w:val="00DB66F4"/>
    <w:rsid w:val="00DB69AD"/>
    <w:rsid w:val="00DC049F"/>
    <w:rsid w:val="00DC08F7"/>
    <w:rsid w:val="00DC2157"/>
    <w:rsid w:val="00DC3220"/>
    <w:rsid w:val="00DC56B3"/>
    <w:rsid w:val="00DC5764"/>
    <w:rsid w:val="00DC6F8F"/>
    <w:rsid w:val="00DC72B1"/>
    <w:rsid w:val="00DD07ED"/>
    <w:rsid w:val="00DD2675"/>
    <w:rsid w:val="00DD3067"/>
    <w:rsid w:val="00DD3132"/>
    <w:rsid w:val="00DD38F7"/>
    <w:rsid w:val="00DD579B"/>
    <w:rsid w:val="00DD5C64"/>
    <w:rsid w:val="00DD7AD9"/>
    <w:rsid w:val="00DE2641"/>
    <w:rsid w:val="00DE2DF8"/>
    <w:rsid w:val="00DE3749"/>
    <w:rsid w:val="00DE6251"/>
    <w:rsid w:val="00DE6676"/>
    <w:rsid w:val="00DE7890"/>
    <w:rsid w:val="00DE7BA0"/>
    <w:rsid w:val="00DE7BF3"/>
    <w:rsid w:val="00DE7DB0"/>
    <w:rsid w:val="00DF1699"/>
    <w:rsid w:val="00DF1834"/>
    <w:rsid w:val="00DF1DEB"/>
    <w:rsid w:val="00DF489C"/>
    <w:rsid w:val="00DF5EAB"/>
    <w:rsid w:val="00DF6852"/>
    <w:rsid w:val="00DF7169"/>
    <w:rsid w:val="00DF7A02"/>
    <w:rsid w:val="00E00044"/>
    <w:rsid w:val="00E008CB"/>
    <w:rsid w:val="00E00A8D"/>
    <w:rsid w:val="00E00E1F"/>
    <w:rsid w:val="00E014D4"/>
    <w:rsid w:val="00E01796"/>
    <w:rsid w:val="00E024A9"/>
    <w:rsid w:val="00E02579"/>
    <w:rsid w:val="00E028F1"/>
    <w:rsid w:val="00E02E44"/>
    <w:rsid w:val="00E034A8"/>
    <w:rsid w:val="00E052CC"/>
    <w:rsid w:val="00E05A25"/>
    <w:rsid w:val="00E06FA8"/>
    <w:rsid w:val="00E1015C"/>
    <w:rsid w:val="00E1089D"/>
    <w:rsid w:val="00E11417"/>
    <w:rsid w:val="00E11E98"/>
    <w:rsid w:val="00E1254C"/>
    <w:rsid w:val="00E1404A"/>
    <w:rsid w:val="00E1555D"/>
    <w:rsid w:val="00E16F87"/>
    <w:rsid w:val="00E20413"/>
    <w:rsid w:val="00E211D3"/>
    <w:rsid w:val="00E21BC0"/>
    <w:rsid w:val="00E2261E"/>
    <w:rsid w:val="00E229E3"/>
    <w:rsid w:val="00E2327F"/>
    <w:rsid w:val="00E240B2"/>
    <w:rsid w:val="00E252E1"/>
    <w:rsid w:val="00E2607D"/>
    <w:rsid w:val="00E26611"/>
    <w:rsid w:val="00E27ABF"/>
    <w:rsid w:val="00E31231"/>
    <w:rsid w:val="00E31FC1"/>
    <w:rsid w:val="00E33544"/>
    <w:rsid w:val="00E33AD0"/>
    <w:rsid w:val="00E33B35"/>
    <w:rsid w:val="00E3588E"/>
    <w:rsid w:val="00E40E2F"/>
    <w:rsid w:val="00E40EA1"/>
    <w:rsid w:val="00E41309"/>
    <w:rsid w:val="00E4240A"/>
    <w:rsid w:val="00E4287D"/>
    <w:rsid w:val="00E4339A"/>
    <w:rsid w:val="00E4432F"/>
    <w:rsid w:val="00E44A53"/>
    <w:rsid w:val="00E4557E"/>
    <w:rsid w:val="00E468C8"/>
    <w:rsid w:val="00E46F0D"/>
    <w:rsid w:val="00E4746E"/>
    <w:rsid w:val="00E476DD"/>
    <w:rsid w:val="00E5058D"/>
    <w:rsid w:val="00E505BA"/>
    <w:rsid w:val="00E508F7"/>
    <w:rsid w:val="00E50A2C"/>
    <w:rsid w:val="00E50C53"/>
    <w:rsid w:val="00E5261B"/>
    <w:rsid w:val="00E547C1"/>
    <w:rsid w:val="00E54B70"/>
    <w:rsid w:val="00E56911"/>
    <w:rsid w:val="00E569F3"/>
    <w:rsid w:val="00E5757D"/>
    <w:rsid w:val="00E60251"/>
    <w:rsid w:val="00E60C00"/>
    <w:rsid w:val="00E618C3"/>
    <w:rsid w:val="00E61C25"/>
    <w:rsid w:val="00E63D88"/>
    <w:rsid w:val="00E667BB"/>
    <w:rsid w:val="00E67608"/>
    <w:rsid w:val="00E70377"/>
    <w:rsid w:val="00E741CD"/>
    <w:rsid w:val="00E74CFA"/>
    <w:rsid w:val="00E75523"/>
    <w:rsid w:val="00E75572"/>
    <w:rsid w:val="00E77808"/>
    <w:rsid w:val="00E77E92"/>
    <w:rsid w:val="00E80111"/>
    <w:rsid w:val="00E82F4A"/>
    <w:rsid w:val="00E83EA2"/>
    <w:rsid w:val="00E846C9"/>
    <w:rsid w:val="00E90661"/>
    <w:rsid w:val="00E90C67"/>
    <w:rsid w:val="00E91008"/>
    <w:rsid w:val="00E943C9"/>
    <w:rsid w:val="00E94C6F"/>
    <w:rsid w:val="00E94D47"/>
    <w:rsid w:val="00E9572F"/>
    <w:rsid w:val="00E95906"/>
    <w:rsid w:val="00E97D42"/>
    <w:rsid w:val="00EA0F16"/>
    <w:rsid w:val="00EA0F7B"/>
    <w:rsid w:val="00EA121C"/>
    <w:rsid w:val="00EA1467"/>
    <w:rsid w:val="00EA1503"/>
    <w:rsid w:val="00EA2E1A"/>
    <w:rsid w:val="00EA345D"/>
    <w:rsid w:val="00EA40F1"/>
    <w:rsid w:val="00EA52C0"/>
    <w:rsid w:val="00EA62E4"/>
    <w:rsid w:val="00EA6985"/>
    <w:rsid w:val="00EA74E4"/>
    <w:rsid w:val="00EB08BB"/>
    <w:rsid w:val="00EB0AAE"/>
    <w:rsid w:val="00EB5542"/>
    <w:rsid w:val="00EB60A2"/>
    <w:rsid w:val="00EB620F"/>
    <w:rsid w:val="00EB646B"/>
    <w:rsid w:val="00EC24A4"/>
    <w:rsid w:val="00EC4047"/>
    <w:rsid w:val="00EC42E2"/>
    <w:rsid w:val="00EC5788"/>
    <w:rsid w:val="00EC6CDA"/>
    <w:rsid w:val="00EC7B17"/>
    <w:rsid w:val="00ED1BA6"/>
    <w:rsid w:val="00ED3F42"/>
    <w:rsid w:val="00ED6AE2"/>
    <w:rsid w:val="00ED6DD6"/>
    <w:rsid w:val="00ED7599"/>
    <w:rsid w:val="00EE266A"/>
    <w:rsid w:val="00EE39C7"/>
    <w:rsid w:val="00EE4A8D"/>
    <w:rsid w:val="00EE4BBB"/>
    <w:rsid w:val="00EE5208"/>
    <w:rsid w:val="00EE7DC7"/>
    <w:rsid w:val="00EF0E8C"/>
    <w:rsid w:val="00EF1539"/>
    <w:rsid w:val="00EF2CF8"/>
    <w:rsid w:val="00EF51AD"/>
    <w:rsid w:val="00EF5EDB"/>
    <w:rsid w:val="00EF6982"/>
    <w:rsid w:val="00F018BE"/>
    <w:rsid w:val="00F027D4"/>
    <w:rsid w:val="00F035A8"/>
    <w:rsid w:val="00F03C9C"/>
    <w:rsid w:val="00F06914"/>
    <w:rsid w:val="00F06BE5"/>
    <w:rsid w:val="00F07A92"/>
    <w:rsid w:val="00F07C10"/>
    <w:rsid w:val="00F07DD9"/>
    <w:rsid w:val="00F07E66"/>
    <w:rsid w:val="00F10182"/>
    <w:rsid w:val="00F10270"/>
    <w:rsid w:val="00F11094"/>
    <w:rsid w:val="00F11469"/>
    <w:rsid w:val="00F130E6"/>
    <w:rsid w:val="00F140BB"/>
    <w:rsid w:val="00F14373"/>
    <w:rsid w:val="00F15F43"/>
    <w:rsid w:val="00F171D6"/>
    <w:rsid w:val="00F171ED"/>
    <w:rsid w:val="00F17EAF"/>
    <w:rsid w:val="00F236B2"/>
    <w:rsid w:val="00F23834"/>
    <w:rsid w:val="00F23914"/>
    <w:rsid w:val="00F24FC2"/>
    <w:rsid w:val="00F251D8"/>
    <w:rsid w:val="00F30A9D"/>
    <w:rsid w:val="00F318E7"/>
    <w:rsid w:val="00F32696"/>
    <w:rsid w:val="00F35030"/>
    <w:rsid w:val="00F360A7"/>
    <w:rsid w:val="00F364AB"/>
    <w:rsid w:val="00F41300"/>
    <w:rsid w:val="00F421ED"/>
    <w:rsid w:val="00F4309B"/>
    <w:rsid w:val="00F458B8"/>
    <w:rsid w:val="00F45C53"/>
    <w:rsid w:val="00F46234"/>
    <w:rsid w:val="00F47D6A"/>
    <w:rsid w:val="00F51A34"/>
    <w:rsid w:val="00F51BF4"/>
    <w:rsid w:val="00F52FAC"/>
    <w:rsid w:val="00F53FD5"/>
    <w:rsid w:val="00F54312"/>
    <w:rsid w:val="00F54CAB"/>
    <w:rsid w:val="00F6200E"/>
    <w:rsid w:val="00F62E96"/>
    <w:rsid w:val="00F63E48"/>
    <w:rsid w:val="00F652D2"/>
    <w:rsid w:val="00F65BFC"/>
    <w:rsid w:val="00F670BC"/>
    <w:rsid w:val="00F70070"/>
    <w:rsid w:val="00F72547"/>
    <w:rsid w:val="00F757CE"/>
    <w:rsid w:val="00F80A21"/>
    <w:rsid w:val="00F8197D"/>
    <w:rsid w:val="00F81D32"/>
    <w:rsid w:val="00F81F83"/>
    <w:rsid w:val="00F82F6B"/>
    <w:rsid w:val="00F83012"/>
    <w:rsid w:val="00F85393"/>
    <w:rsid w:val="00F85E85"/>
    <w:rsid w:val="00F8607F"/>
    <w:rsid w:val="00F865DC"/>
    <w:rsid w:val="00F87197"/>
    <w:rsid w:val="00F914ED"/>
    <w:rsid w:val="00F92A29"/>
    <w:rsid w:val="00F92F2C"/>
    <w:rsid w:val="00F93534"/>
    <w:rsid w:val="00F935F5"/>
    <w:rsid w:val="00F938E4"/>
    <w:rsid w:val="00F93F2A"/>
    <w:rsid w:val="00F95522"/>
    <w:rsid w:val="00F9728E"/>
    <w:rsid w:val="00FA069D"/>
    <w:rsid w:val="00FA197C"/>
    <w:rsid w:val="00FA1C95"/>
    <w:rsid w:val="00FA1E6D"/>
    <w:rsid w:val="00FA3925"/>
    <w:rsid w:val="00FA3E1C"/>
    <w:rsid w:val="00FA4542"/>
    <w:rsid w:val="00FA49B6"/>
    <w:rsid w:val="00FA4FF1"/>
    <w:rsid w:val="00FA614B"/>
    <w:rsid w:val="00FA619F"/>
    <w:rsid w:val="00FA64D1"/>
    <w:rsid w:val="00FA706C"/>
    <w:rsid w:val="00FA72E3"/>
    <w:rsid w:val="00FA7307"/>
    <w:rsid w:val="00FA764C"/>
    <w:rsid w:val="00FB02B5"/>
    <w:rsid w:val="00FB265D"/>
    <w:rsid w:val="00FB327B"/>
    <w:rsid w:val="00FB4B0C"/>
    <w:rsid w:val="00FB54E4"/>
    <w:rsid w:val="00FB5816"/>
    <w:rsid w:val="00FB77AC"/>
    <w:rsid w:val="00FB7FBB"/>
    <w:rsid w:val="00FC09C1"/>
    <w:rsid w:val="00FC1C71"/>
    <w:rsid w:val="00FC370B"/>
    <w:rsid w:val="00FC4F35"/>
    <w:rsid w:val="00FC62BA"/>
    <w:rsid w:val="00FC6393"/>
    <w:rsid w:val="00FC7BD6"/>
    <w:rsid w:val="00FD0B7C"/>
    <w:rsid w:val="00FD0DAD"/>
    <w:rsid w:val="00FD0F59"/>
    <w:rsid w:val="00FD15E5"/>
    <w:rsid w:val="00FD22B3"/>
    <w:rsid w:val="00FD2EC9"/>
    <w:rsid w:val="00FD2F3B"/>
    <w:rsid w:val="00FD3553"/>
    <w:rsid w:val="00FD4930"/>
    <w:rsid w:val="00FD5017"/>
    <w:rsid w:val="00FD50EA"/>
    <w:rsid w:val="00FD5859"/>
    <w:rsid w:val="00FD6C3F"/>
    <w:rsid w:val="00FD7A0C"/>
    <w:rsid w:val="00FE00ED"/>
    <w:rsid w:val="00FE33A7"/>
    <w:rsid w:val="00FE4A3B"/>
    <w:rsid w:val="00FE5799"/>
    <w:rsid w:val="00FE6553"/>
    <w:rsid w:val="00FE66B9"/>
    <w:rsid w:val="00FE68F1"/>
    <w:rsid w:val="00FE7655"/>
    <w:rsid w:val="00FE7680"/>
    <w:rsid w:val="00FE7696"/>
    <w:rsid w:val="00FE76F1"/>
    <w:rsid w:val="00FE7C1C"/>
    <w:rsid w:val="00FF0170"/>
    <w:rsid w:val="00FF038D"/>
    <w:rsid w:val="00FF0949"/>
    <w:rsid w:val="00FF3663"/>
    <w:rsid w:val="00FF5871"/>
    <w:rsid w:val="00FF5D19"/>
    <w:rsid w:val="00FF6037"/>
    <w:rsid w:val="00FF6702"/>
    <w:rsid w:val="00FF77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80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제목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제목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본문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바닥글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paragraph" w:styleId="a6">
    <w:name w:val="footnote text"/>
    <w:basedOn w:val="a"/>
    <w:link w:val="Char2"/>
    <w:uiPriority w:val="99"/>
    <w:semiHidden/>
    <w:unhideWhenUsed/>
    <w:rsid w:val="00E1404A"/>
    <w:pPr>
      <w:overflowPunct w:val="0"/>
      <w:autoSpaceDE w:val="0"/>
      <w:autoSpaceDN w:val="0"/>
      <w:adjustRightInd w:val="0"/>
      <w:spacing w:after="180"/>
      <w:textAlignment w:val="baseline"/>
    </w:pPr>
    <w:rPr>
      <w:szCs w:val="20"/>
      <w:lang w:val="en-GB"/>
    </w:rPr>
  </w:style>
  <w:style w:type="character" w:customStyle="1" w:styleId="Char2">
    <w:name w:val="각주 텍스트 Char"/>
    <w:basedOn w:val="a1"/>
    <w:link w:val="a6"/>
    <w:uiPriority w:val="99"/>
    <w:semiHidden/>
    <w:rsid w:val="00E1404A"/>
    <w:rPr>
      <w:rFonts w:ascii="Times New Roman" w:eastAsia="Times New Roman" w:hAnsi="Times New Roman" w:cs="Times New Roman"/>
      <w:sz w:val="20"/>
      <w:szCs w:val="20"/>
      <w:lang w:val="en-GB"/>
    </w:rPr>
  </w:style>
  <w:style w:type="character" w:styleId="a7">
    <w:name w:val="footnote reference"/>
    <w:uiPriority w:val="99"/>
    <w:semiHidden/>
    <w:unhideWhenUsed/>
    <w:rsid w:val="00E1404A"/>
    <w:rPr>
      <w:vertAlign w:val="superscript"/>
    </w:rPr>
  </w:style>
  <w:style w:type="paragraph" w:styleId="a8">
    <w:name w:val="List Paragraph"/>
    <w:basedOn w:val="a"/>
    <w:uiPriority w:val="34"/>
    <w:qFormat/>
    <w:rsid w:val="00E1404A"/>
    <w:pPr>
      <w:overflowPunct w:val="0"/>
      <w:autoSpaceDE w:val="0"/>
      <w:autoSpaceDN w:val="0"/>
      <w:adjustRightInd w:val="0"/>
      <w:spacing w:after="180"/>
      <w:ind w:left="720"/>
      <w:contextualSpacing/>
      <w:textAlignment w:val="baseline"/>
    </w:pPr>
    <w:rPr>
      <w:szCs w:val="20"/>
      <w:lang w:val="en-GB"/>
    </w:rPr>
  </w:style>
  <w:style w:type="paragraph" w:customStyle="1" w:styleId="Bulletedo1">
    <w:name w:val="Bulleted o 1"/>
    <w:basedOn w:val="a"/>
    <w:rsid w:val="00E06FA8"/>
    <w:pPr>
      <w:numPr>
        <w:numId w:val="6"/>
      </w:numPr>
      <w:overflowPunct w:val="0"/>
      <w:autoSpaceDE w:val="0"/>
      <w:autoSpaceDN w:val="0"/>
      <w:adjustRightInd w:val="0"/>
      <w:spacing w:after="180"/>
      <w:textAlignment w:val="baseline"/>
    </w:pPr>
    <w:rPr>
      <w:rFonts w:eastAsia="SimSun"/>
      <w:szCs w:val="20"/>
    </w:rPr>
  </w:style>
  <w:style w:type="paragraph" w:styleId="a9">
    <w:name w:val="Normal (Web)"/>
    <w:basedOn w:val="a"/>
    <w:uiPriority w:val="99"/>
    <w:unhideWhenUsed/>
    <w:rsid w:val="009D5EEA"/>
    <w:pPr>
      <w:spacing w:before="100" w:beforeAutospacing="1" w:after="100" w:afterAutospacing="1"/>
    </w:pPr>
    <w:rPr>
      <w:rFonts w:eastAsiaTheme="minorEastAsia"/>
      <w:sz w:val="24"/>
    </w:rPr>
  </w:style>
  <w:style w:type="paragraph" w:styleId="aa">
    <w:name w:val="Document Map"/>
    <w:basedOn w:val="a"/>
    <w:link w:val="Char3"/>
    <w:uiPriority w:val="99"/>
    <w:semiHidden/>
    <w:unhideWhenUsed/>
    <w:rsid w:val="009372E8"/>
    <w:rPr>
      <w:rFonts w:ascii="굴림" w:eastAsia="굴림"/>
      <w:sz w:val="18"/>
      <w:szCs w:val="18"/>
    </w:rPr>
  </w:style>
  <w:style w:type="character" w:customStyle="1" w:styleId="Char3">
    <w:name w:val="문서 구조 Char"/>
    <w:basedOn w:val="a1"/>
    <w:link w:val="aa"/>
    <w:uiPriority w:val="99"/>
    <w:semiHidden/>
    <w:rsid w:val="009372E8"/>
    <w:rPr>
      <w:rFonts w:ascii="굴림" w:eastAsia="굴림" w:hAnsi="Times New Roman" w:cs="Times New Roman"/>
      <w:sz w:val="18"/>
      <w:szCs w:val="18"/>
      <w:lang w:val="en-US"/>
    </w:rPr>
  </w:style>
  <w:style w:type="paragraph" w:styleId="ab">
    <w:name w:val="Balloon Text"/>
    <w:basedOn w:val="a"/>
    <w:link w:val="Char4"/>
    <w:uiPriority w:val="99"/>
    <w:semiHidden/>
    <w:unhideWhenUsed/>
    <w:rsid w:val="009372E8"/>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9372E8"/>
    <w:rPr>
      <w:rFonts w:asciiTheme="majorHAnsi" w:eastAsiaTheme="majorEastAsia" w:hAnsiTheme="majorHAnsi" w:cstheme="majorBidi"/>
      <w:sz w:val="18"/>
      <w:szCs w:val="18"/>
      <w:lang w:val="en-US"/>
    </w:rPr>
  </w:style>
  <w:style w:type="paragraph" w:styleId="ac">
    <w:name w:val="caption"/>
    <w:basedOn w:val="a"/>
    <w:next w:val="a"/>
    <w:uiPriority w:val="35"/>
    <w:semiHidden/>
    <w:unhideWhenUsed/>
    <w:qFormat/>
    <w:rsid w:val="009372E8"/>
    <w:rPr>
      <w:b/>
      <w:bCs/>
      <w:szCs w:val="20"/>
    </w:rPr>
  </w:style>
  <w:style w:type="character" w:styleId="ad">
    <w:name w:val="annotation reference"/>
    <w:basedOn w:val="a1"/>
    <w:uiPriority w:val="99"/>
    <w:semiHidden/>
    <w:unhideWhenUsed/>
    <w:rsid w:val="009B6E44"/>
    <w:rPr>
      <w:sz w:val="18"/>
      <w:szCs w:val="18"/>
    </w:rPr>
  </w:style>
  <w:style w:type="paragraph" w:styleId="ae">
    <w:name w:val="annotation text"/>
    <w:basedOn w:val="a"/>
    <w:link w:val="Char5"/>
    <w:uiPriority w:val="99"/>
    <w:semiHidden/>
    <w:unhideWhenUsed/>
    <w:rsid w:val="009B6E44"/>
  </w:style>
  <w:style w:type="character" w:customStyle="1" w:styleId="Char5">
    <w:name w:val="메모 텍스트 Char"/>
    <w:basedOn w:val="a1"/>
    <w:link w:val="ae"/>
    <w:uiPriority w:val="99"/>
    <w:semiHidden/>
    <w:rsid w:val="009B6E44"/>
    <w:rPr>
      <w:rFonts w:ascii="Times New Roman" w:eastAsia="Times New Roman" w:hAnsi="Times New Roman" w:cs="Times New Roman"/>
      <w:sz w:val="20"/>
      <w:szCs w:val="24"/>
      <w:lang w:val="en-US"/>
    </w:rPr>
  </w:style>
  <w:style w:type="paragraph" w:styleId="af">
    <w:name w:val="annotation subject"/>
    <w:basedOn w:val="ae"/>
    <w:next w:val="ae"/>
    <w:link w:val="Char6"/>
    <w:uiPriority w:val="99"/>
    <w:semiHidden/>
    <w:unhideWhenUsed/>
    <w:rsid w:val="009B6E44"/>
    <w:rPr>
      <w:b/>
      <w:bCs/>
    </w:rPr>
  </w:style>
  <w:style w:type="character" w:customStyle="1" w:styleId="Char6">
    <w:name w:val="메모 주제 Char"/>
    <w:basedOn w:val="Char5"/>
    <w:link w:val="af"/>
    <w:uiPriority w:val="99"/>
    <w:semiHidden/>
    <w:rsid w:val="009B6E44"/>
    <w:rPr>
      <w:rFonts w:ascii="Times New Roman" w:eastAsia="Times New Roman" w:hAnsi="Times New Roman" w:cs="Times New Roman"/>
      <w:b/>
      <w:bCs/>
      <w:sz w:val="20"/>
      <w:szCs w:val="24"/>
      <w:lang w:val="en-US"/>
    </w:rPr>
  </w:style>
  <w:style w:type="character" w:customStyle="1" w:styleId="apple-converted-space">
    <w:name w:val="apple-converted-space"/>
    <w:basedOn w:val="a1"/>
    <w:rsid w:val="00F251D8"/>
  </w:style>
  <w:style w:type="table" w:customStyle="1" w:styleId="PlainTable11">
    <w:name w:val="Plain Table 11"/>
    <w:basedOn w:val="a2"/>
    <w:uiPriority w:val="41"/>
    <w:rsid w:val="00C442F5"/>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0">
    <w:name w:val="Emphasis"/>
    <w:basedOn w:val="a1"/>
    <w:uiPriority w:val="20"/>
    <w:qFormat/>
    <w:rsid w:val="00A7713F"/>
    <w:rPr>
      <w:i/>
      <w:iCs/>
    </w:rPr>
  </w:style>
  <w:style w:type="table" w:styleId="af1">
    <w:name w:val="Table Grid"/>
    <w:basedOn w:val="a2"/>
    <w:uiPriority w:val="59"/>
    <w:rsid w:val="00B92C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51">
    <w:name w:val="Plain Table 51"/>
    <w:basedOn w:val="a2"/>
    <w:uiPriority w:val="45"/>
    <w:rsid w:val="001B62EE"/>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222">
    <w:name w:val="스타일 스타일 스타일 스타일 양쪽 첫 줄:  2 글자 + 첫 줄:  2 글자 + 첫 줄:  2 글자 + 첫 줄:  2..."/>
    <w:basedOn w:val="a"/>
    <w:link w:val="2222Char"/>
    <w:rsid w:val="00206F9A"/>
    <w:pPr>
      <w:spacing w:after="180" w:line="336" w:lineRule="auto"/>
      <w:ind w:firstLineChars="200" w:firstLine="200"/>
      <w:jc w:val="both"/>
    </w:pPr>
    <w:rPr>
      <w:rFonts w:eastAsia="맑은 고딕" w:cs="바탕"/>
      <w:szCs w:val="20"/>
      <w:lang w:val="en-GB"/>
    </w:rPr>
  </w:style>
  <w:style w:type="character" w:customStyle="1" w:styleId="2222Char">
    <w:name w:val="스타일 스타일 스타일 스타일 양쪽 첫 줄:  2 글자 + 첫 줄:  2 글자 + 첫 줄:  2 글자 + 첫 줄:  2... Char"/>
    <w:basedOn w:val="a1"/>
    <w:link w:val="2222"/>
    <w:rsid w:val="00206F9A"/>
    <w:rPr>
      <w:rFonts w:ascii="Times New Roman" w:eastAsia="맑은 고딕" w:hAnsi="Times New Roman" w:cs="바탕"/>
      <w:sz w:val="20"/>
      <w:szCs w:val="20"/>
      <w:lang w:val="en-GB"/>
    </w:rPr>
  </w:style>
  <w:style w:type="paragraph" w:styleId="af2">
    <w:name w:val="Title"/>
    <w:basedOn w:val="a"/>
    <w:link w:val="Char7"/>
    <w:qFormat/>
    <w:rsid w:val="00CE3BA6"/>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7">
    <w:name w:val="제목 Char"/>
    <w:basedOn w:val="a1"/>
    <w:link w:val="af2"/>
    <w:rsid w:val="00CE3BA6"/>
    <w:rPr>
      <w:rFonts w:ascii="Arial" w:eastAsia="MS Mincho" w:hAnsi="Arial" w:cs="Times New Roman"/>
      <w:b/>
      <w:sz w:val="24"/>
      <w:szCs w:val="20"/>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제목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제목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본문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바닥글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paragraph" w:styleId="a6">
    <w:name w:val="footnote text"/>
    <w:basedOn w:val="a"/>
    <w:link w:val="Char2"/>
    <w:uiPriority w:val="99"/>
    <w:semiHidden/>
    <w:unhideWhenUsed/>
    <w:rsid w:val="00E1404A"/>
    <w:pPr>
      <w:overflowPunct w:val="0"/>
      <w:autoSpaceDE w:val="0"/>
      <w:autoSpaceDN w:val="0"/>
      <w:adjustRightInd w:val="0"/>
      <w:spacing w:after="180"/>
      <w:textAlignment w:val="baseline"/>
    </w:pPr>
    <w:rPr>
      <w:szCs w:val="20"/>
      <w:lang w:val="en-GB"/>
    </w:rPr>
  </w:style>
  <w:style w:type="character" w:customStyle="1" w:styleId="Char2">
    <w:name w:val="각주 텍스트 Char"/>
    <w:basedOn w:val="a1"/>
    <w:link w:val="a6"/>
    <w:uiPriority w:val="99"/>
    <w:semiHidden/>
    <w:rsid w:val="00E1404A"/>
    <w:rPr>
      <w:rFonts w:ascii="Times New Roman" w:eastAsia="Times New Roman" w:hAnsi="Times New Roman" w:cs="Times New Roman"/>
      <w:sz w:val="20"/>
      <w:szCs w:val="20"/>
      <w:lang w:val="en-GB"/>
    </w:rPr>
  </w:style>
  <w:style w:type="character" w:styleId="a7">
    <w:name w:val="footnote reference"/>
    <w:uiPriority w:val="99"/>
    <w:semiHidden/>
    <w:unhideWhenUsed/>
    <w:rsid w:val="00E1404A"/>
    <w:rPr>
      <w:vertAlign w:val="superscript"/>
    </w:rPr>
  </w:style>
  <w:style w:type="paragraph" w:styleId="a8">
    <w:name w:val="List Paragraph"/>
    <w:basedOn w:val="a"/>
    <w:uiPriority w:val="34"/>
    <w:qFormat/>
    <w:rsid w:val="00E1404A"/>
    <w:pPr>
      <w:overflowPunct w:val="0"/>
      <w:autoSpaceDE w:val="0"/>
      <w:autoSpaceDN w:val="0"/>
      <w:adjustRightInd w:val="0"/>
      <w:spacing w:after="180"/>
      <w:ind w:left="720"/>
      <w:contextualSpacing/>
      <w:textAlignment w:val="baseline"/>
    </w:pPr>
    <w:rPr>
      <w:szCs w:val="20"/>
      <w:lang w:val="en-GB"/>
    </w:rPr>
  </w:style>
  <w:style w:type="paragraph" w:customStyle="1" w:styleId="Bulletedo1">
    <w:name w:val="Bulleted o 1"/>
    <w:basedOn w:val="a"/>
    <w:rsid w:val="00E06FA8"/>
    <w:pPr>
      <w:numPr>
        <w:numId w:val="6"/>
      </w:numPr>
      <w:overflowPunct w:val="0"/>
      <w:autoSpaceDE w:val="0"/>
      <w:autoSpaceDN w:val="0"/>
      <w:adjustRightInd w:val="0"/>
      <w:spacing w:after="180"/>
      <w:textAlignment w:val="baseline"/>
    </w:pPr>
    <w:rPr>
      <w:rFonts w:eastAsia="SimSun"/>
      <w:szCs w:val="20"/>
    </w:rPr>
  </w:style>
  <w:style w:type="paragraph" w:styleId="a9">
    <w:name w:val="Normal (Web)"/>
    <w:basedOn w:val="a"/>
    <w:uiPriority w:val="99"/>
    <w:unhideWhenUsed/>
    <w:rsid w:val="009D5EEA"/>
    <w:pPr>
      <w:spacing w:before="100" w:beforeAutospacing="1" w:after="100" w:afterAutospacing="1"/>
    </w:pPr>
    <w:rPr>
      <w:rFonts w:eastAsiaTheme="minorEastAsia"/>
      <w:sz w:val="24"/>
    </w:rPr>
  </w:style>
  <w:style w:type="paragraph" w:styleId="aa">
    <w:name w:val="Document Map"/>
    <w:basedOn w:val="a"/>
    <w:link w:val="Char3"/>
    <w:uiPriority w:val="99"/>
    <w:semiHidden/>
    <w:unhideWhenUsed/>
    <w:rsid w:val="009372E8"/>
    <w:rPr>
      <w:rFonts w:ascii="굴림" w:eastAsia="굴림"/>
      <w:sz w:val="18"/>
      <w:szCs w:val="18"/>
    </w:rPr>
  </w:style>
  <w:style w:type="character" w:customStyle="1" w:styleId="Char3">
    <w:name w:val="문서 구조 Char"/>
    <w:basedOn w:val="a1"/>
    <w:link w:val="aa"/>
    <w:uiPriority w:val="99"/>
    <w:semiHidden/>
    <w:rsid w:val="009372E8"/>
    <w:rPr>
      <w:rFonts w:ascii="굴림" w:eastAsia="굴림" w:hAnsi="Times New Roman" w:cs="Times New Roman"/>
      <w:sz w:val="18"/>
      <w:szCs w:val="18"/>
      <w:lang w:val="en-US"/>
    </w:rPr>
  </w:style>
  <w:style w:type="paragraph" w:styleId="ab">
    <w:name w:val="Balloon Text"/>
    <w:basedOn w:val="a"/>
    <w:link w:val="Char4"/>
    <w:uiPriority w:val="99"/>
    <w:semiHidden/>
    <w:unhideWhenUsed/>
    <w:rsid w:val="009372E8"/>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9372E8"/>
    <w:rPr>
      <w:rFonts w:asciiTheme="majorHAnsi" w:eastAsiaTheme="majorEastAsia" w:hAnsiTheme="majorHAnsi" w:cstheme="majorBidi"/>
      <w:sz w:val="18"/>
      <w:szCs w:val="18"/>
      <w:lang w:val="en-US"/>
    </w:rPr>
  </w:style>
  <w:style w:type="paragraph" w:styleId="ac">
    <w:name w:val="caption"/>
    <w:basedOn w:val="a"/>
    <w:next w:val="a"/>
    <w:uiPriority w:val="35"/>
    <w:semiHidden/>
    <w:unhideWhenUsed/>
    <w:qFormat/>
    <w:rsid w:val="009372E8"/>
    <w:rPr>
      <w:b/>
      <w:bCs/>
      <w:szCs w:val="20"/>
    </w:rPr>
  </w:style>
  <w:style w:type="character" w:styleId="ad">
    <w:name w:val="annotation reference"/>
    <w:basedOn w:val="a1"/>
    <w:uiPriority w:val="99"/>
    <w:semiHidden/>
    <w:unhideWhenUsed/>
    <w:rsid w:val="009B6E44"/>
    <w:rPr>
      <w:sz w:val="18"/>
      <w:szCs w:val="18"/>
    </w:rPr>
  </w:style>
  <w:style w:type="paragraph" w:styleId="ae">
    <w:name w:val="annotation text"/>
    <w:basedOn w:val="a"/>
    <w:link w:val="Char5"/>
    <w:uiPriority w:val="99"/>
    <w:semiHidden/>
    <w:unhideWhenUsed/>
    <w:rsid w:val="009B6E44"/>
  </w:style>
  <w:style w:type="character" w:customStyle="1" w:styleId="Char5">
    <w:name w:val="메모 텍스트 Char"/>
    <w:basedOn w:val="a1"/>
    <w:link w:val="ae"/>
    <w:uiPriority w:val="99"/>
    <w:semiHidden/>
    <w:rsid w:val="009B6E44"/>
    <w:rPr>
      <w:rFonts w:ascii="Times New Roman" w:eastAsia="Times New Roman" w:hAnsi="Times New Roman" w:cs="Times New Roman"/>
      <w:sz w:val="20"/>
      <w:szCs w:val="24"/>
      <w:lang w:val="en-US"/>
    </w:rPr>
  </w:style>
  <w:style w:type="paragraph" w:styleId="af">
    <w:name w:val="annotation subject"/>
    <w:basedOn w:val="ae"/>
    <w:next w:val="ae"/>
    <w:link w:val="Char6"/>
    <w:uiPriority w:val="99"/>
    <w:semiHidden/>
    <w:unhideWhenUsed/>
    <w:rsid w:val="009B6E44"/>
    <w:rPr>
      <w:b/>
      <w:bCs/>
    </w:rPr>
  </w:style>
  <w:style w:type="character" w:customStyle="1" w:styleId="Char6">
    <w:name w:val="메모 주제 Char"/>
    <w:basedOn w:val="Char5"/>
    <w:link w:val="af"/>
    <w:uiPriority w:val="99"/>
    <w:semiHidden/>
    <w:rsid w:val="009B6E44"/>
    <w:rPr>
      <w:rFonts w:ascii="Times New Roman" w:eastAsia="Times New Roman" w:hAnsi="Times New Roman" w:cs="Times New Roman"/>
      <w:b/>
      <w:bCs/>
      <w:sz w:val="20"/>
      <w:szCs w:val="24"/>
      <w:lang w:val="en-US"/>
    </w:rPr>
  </w:style>
  <w:style w:type="character" w:customStyle="1" w:styleId="apple-converted-space">
    <w:name w:val="apple-converted-space"/>
    <w:basedOn w:val="a1"/>
    <w:rsid w:val="00F251D8"/>
  </w:style>
  <w:style w:type="table" w:customStyle="1" w:styleId="PlainTable11">
    <w:name w:val="Plain Table 11"/>
    <w:basedOn w:val="a2"/>
    <w:uiPriority w:val="41"/>
    <w:rsid w:val="00C442F5"/>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0">
    <w:name w:val="Emphasis"/>
    <w:basedOn w:val="a1"/>
    <w:uiPriority w:val="20"/>
    <w:qFormat/>
    <w:rsid w:val="00A7713F"/>
    <w:rPr>
      <w:i/>
      <w:iCs/>
    </w:rPr>
  </w:style>
  <w:style w:type="table" w:styleId="af1">
    <w:name w:val="Table Grid"/>
    <w:basedOn w:val="a2"/>
    <w:uiPriority w:val="59"/>
    <w:rsid w:val="00B92C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51">
    <w:name w:val="Plain Table 51"/>
    <w:basedOn w:val="a2"/>
    <w:uiPriority w:val="45"/>
    <w:rsid w:val="001B62EE"/>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222">
    <w:name w:val="스타일 스타일 스타일 스타일 양쪽 첫 줄:  2 글자 + 첫 줄:  2 글자 + 첫 줄:  2 글자 + 첫 줄:  2..."/>
    <w:basedOn w:val="a"/>
    <w:link w:val="2222Char"/>
    <w:rsid w:val="00206F9A"/>
    <w:pPr>
      <w:spacing w:after="180" w:line="336" w:lineRule="auto"/>
      <w:ind w:firstLineChars="200" w:firstLine="200"/>
      <w:jc w:val="both"/>
    </w:pPr>
    <w:rPr>
      <w:rFonts w:eastAsia="맑은 고딕" w:cs="바탕"/>
      <w:szCs w:val="20"/>
      <w:lang w:val="en-GB"/>
    </w:rPr>
  </w:style>
  <w:style w:type="character" w:customStyle="1" w:styleId="2222Char">
    <w:name w:val="스타일 스타일 스타일 스타일 양쪽 첫 줄:  2 글자 + 첫 줄:  2 글자 + 첫 줄:  2 글자 + 첫 줄:  2... Char"/>
    <w:basedOn w:val="a1"/>
    <w:link w:val="2222"/>
    <w:rsid w:val="00206F9A"/>
    <w:rPr>
      <w:rFonts w:ascii="Times New Roman" w:eastAsia="맑은 고딕" w:hAnsi="Times New Roman" w:cs="바탕"/>
      <w:sz w:val="20"/>
      <w:szCs w:val="20"/>
      <w:lang w:val="en-GB"/>
    </w:rPr>
  </w:style>
  <w:style w:type="paragraph" w:styleId="af2">
    <w:name w:val="Title"/>
    <w:basedOn w:val="a"/>
    <w:link w:val="Char7"/>
    <w:qFormat/>
    <w:rsid w:val="00CE3BA6"/>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7">
    <w:name w:val="제목 Char"/>
    <w:basedOn w:val="a1"/>
    <w:link w:val="af2"/>
    <w:rsid w:val="00CE3BA6"/>
    <w:rPr>
      <w:rFonts w:ascii="Arial" w:eastAsia="MS Mincho" w:hAnsi="Arial" w:cs="Times New Roman"/>
      <w:b/>
      <w:sz w:val="24"/>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99569">
      <w:bodyDiv w:val="1"/>
      <w:marLeft w:val="0"/>
      <w:marRight w:val="0"/>
      <w:marTop w:val="0"/>
      <w:marBottom w:val="0"/>
      <w:divBdr>
        <w:top w:val="none" w:sz="0" w:space="0" w:color="auto"/>
        <w:left w:val="none" w:sz="0" w:space="0" w:color="auto"/>
        <w:bottom w:val="none" w:sz="0" w:space="0" w:color="auto"/>
        <w:right w:val="none" w:sz="0" w:space="0" w:color="auto"/>
      </w:divBdr>
    </w:div>
    <w:div w:id="524173724">
      <w:bodyDiv w:val="1"/>
      <w:marLeft w:val="0"/>
      <w:marRight w:val="0"/>
      <w:marTop w:val="0"/>
      <w:marBottom w:val="0"/>
      <w:divBdr>
        <w:top w:val="none" w:sz="0" w:space="0" w:color="auto"/>
        <w:left w:val="none" w:sz="0" w:space="0" w:color="auto"/>
        <w:bottom w:val="none" w:sz="0" w:space="0" w:color="auto"/>
        <w:right w:val="none" w:sz="0" w:space="0" w:color="auto"/>
      </w:divBdr>
      <w:divsChild>
        <w:div w:id="1001855008">
          <w:marLeft w:val="0"/>
          <w:marRight w:val="0"/>
          <w:marTop w:val="0"/>
          <w:marBottom w:val="0"/>
          <w:divBdr>
            <w:top w:val="none" w:sz="0" w:space="0" w:color="auto"/>
            <w:left w:val="none" w:sz="0" w:space="0" w:color="auto"/>
            <w:bottom w:val="none" w:sz="0" w:space="0" w:color="auto"/>
            <w:right w:val="none" w:sz="0" w:space="0" w:color="auto"/>
          </w:divBdr>
          <w:divsChild>
            <w:div w:id="1869684476">
              <w:marLeft w:val="0"/>
              <w:marRight w:val="0"/>
              <w:marTop w:val="0"/>
              <w:marBottom w:val="0"/>
              <w:divBdr>
                <w:top w:val="none" w:sz="0" w:space="0" w:color="auto"/>
                <w:left w:val="none" w:sz="0" w:space="0" w:color="auto"/>
                <w:bottom w:val="none" w:sz="0" w:space="0" w:color="auto"/>
                <w:right w:val="none" w:sz="0" w:space="0" w:color="auto"/>
              </w:divBdr>
              <w:divsChild>
                <w:div w:id="172111108">
                  <w:marLeft w:val="0"/>
                  <w:marRight w:val="0"/>
                  <w:marTop w:val="0"/>
                  <w:marBottom w:val="0"/>
                  <w:divBdr>
                    <w:top w:val="none" w:sz="0" w:space="0" w:color="auto"/>
                    <w:left w:val="none" w:sz="0" w:space="0" w:color="auto"/>
                    <w:bottom w:val="none" w:sz="0" w:space="0" w:color="auto"/>
                    <w:right w:val="none" w:sz="0" w:space="0" w:color="auto"/>
                  </w:divBdr>
                  <w:divsChild>
                    <w:div w:id="432364097">
                      <w:marLeft w:val="0"/>
                      <w:marRight w:val="0"/>
                      <w:marTop w:val="0"/>
                      <w:marBottom w:val="0"/>
                      <w:divBdr>
                        <w:top w:val="none" w:sz="0" w:space="0" w:color="auto"/>
                        <w:left w:val="none" w:sz="0" w:space="0" w:color="auto"/>
                        <w:bottom w:val="none" w:sz="0" w:space="0" w:color="auto"/>
                        <w:right w:val="none" w:sz="0" w:space="0" w:color="auto"/>
                      </w:divBdr>
                      <w:divsChild>
                        <w:div w:id="1186752216">
                          <w:marLeft w:val="0"/>
                          <w:marRight w:val="0"/>
                          <w:marTop w:val="0"/>
                          <w:marBottom w:val="0"/>
                          <w:divBdr>
                            <w:top w:val="none" w:sz="0" w:space="0" w:color="auto"/>
                            <w:left w:val="none" w:sz="0" w:space="0" w:color="auto"/>
                            <w:bottom w:val="none" w:sz="0" w:space="0" w:color="auto"/>
                            <w:right w:val="none" w:sz="0" w:space="0" w:color="auto"/>
                          </w:divBdr>
                          <w:divsChild>
                            <w:div w:id="1188759351">
                              <w:marLeft w:val="0"/>
                              <w:marRight w:val="0"/>
                              <w:marTop w:val="0"/>
                              <w:marBottom w:val="0"/>
                              <w:divBdr>
                                <w:top w:val="none" w:sz="0" w:space="0" w:color="auto"/>
                                <w:left w:val="none" w:sz="0" w:space="0" w:color="auto"/>
                                <w:bottom w:val="none" w:sz="0" w:space="0" w:color="auto"/>
                                <w:right w:val="none" w:sz="0" w:space="0" w:color="auto"/>
                              </w:divBdr>
                              <w:divsChild>
                                <w:div w:id="733895805">
                                  <w:marLeft w:val="0"/>
                                  <w:marRight w:val="0"/>
                                  <w:marTop w:val="0"/>
                                  <w:marBottom w:val="0"/>
                                  <w:divBdr>
                                    <w:top w:val="none" w:sz="0" w:space="0" w:color="auto"/>
                                    <w:left w:val="none" w:sz="0" w:space="0" w:color="auto"/>
                                    <w:bottom w:val="none" w:sz="0" w:space="0" w:color="auto"/>
                                    <w:right w:val="none" w:sz="0" w:space="0" w:color="auto"/>
                                  </w:divBdr>
                                  <w:divsChild>
                                    <w:div w:id="73599521">
                                      <w:marLeft w:val="0"/>
                                      <w:marRight w:val="0"/>
                                      <w:marTop w:val="0"/>
                                      <w:marBottom w:val="0"/>
                                      <w:divBdr>
                                        <w:top w:val="none" w:sz="0" w:space="0" w:color="auto"/>
                                        <w:left w:val="none" w:sz="0" w:space="0" w:color="auto"/>
                                        <w:bottom w:val="none" w:sz="0" w:space="0" w:color="auto"/>
                                        <w:right w:val="none" w:sz="0" w:space="0" w:color="auto"/>
                                      </w:divBdr>
                                      <w:divsChild>
                                        <w:div w:id="1155297872">
                                          <w:marLeft w:val="0"/>
                                          <w:marRight w:val="0"/>
                                          <w:marTop w:val="0"/>
                                          <w:marBottom w:val="0"/>
                                          <w:divBdr>
                                            <w:top w:val="none" w:sz="0" w:space="0" w:color="auto"/>
                                            <w:left w:val="none" w:sz="0" w:space="0" w:color="auto"/>
                                            <w:bottom w:val="none" w:sz="0" w:space="0" w:color="auto"/>
                                            <w:right w:val="none" w:sz="0" w:space="0" w:color="auto"/>
                                          </w:divBdr>
                                          <w:divsChild>
                                            <w:div w:id="885020900">
                                              <w:marLeft w:val="0"/>
                                              <w:marRight w:val="0"/>
                                              <w:marTop w:val="0"/>
                                              <w:marBottom w:val="0"/>
                                              <w:divBdr>
                                                <w:top w:val="none" w:sz="0" w:space="0" w:color="auto"/>
                                                <w:left w:val="none" w:sz="0" w:space="0" w:color="auto"/>
                                                <w:bottom w:val="none" w:sz="0" w:space="0" w:color="auto"/>
                                                <w:right w:val="none" w:sz="0" w:space="0" w:color="auto"/>
                                              </w:divBdr>
                                              <w:divsChild>
                                                <w:div w:id="167025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8274788">
      <w:bodyDiv w:val="1"/>
      <w:marLeft w:val="0"/>
      <w:marRight w:val="0"/>
      <w:marTop w:val="0"/>
      <w:marBottom w:val="0"/>
      <w:divBdr>
        <w:top w:val="none" w:sz="0" w:space="0" w:color="auto"/>
        <w:left w:val="none" w:sz="0" w:space="0" w:color="auto"/>
        <w:bottom w:val="none" w:sz="0" w:space="0" w:color="auto"/>
        <w:right w:val="none" w:sz="0" w:space="0" w:color="auto"/>
      </w:divBdr>
    </w:div>
    <w:div w:id="607659357">
      <w:bodyDiv w:val="1"/>
      <w:marLeft w:val="0"/>
      <w:marRight w:val="0"/>
      <w:marTop w:val="0"/>
      <w:marBottom w:val="0"/>
      <w:divBdr>
        <w:top w:val="none" w:sz="0" w:space="0" w:color="auto"/>
        <w:left w:val="none" w:sz="0" w:space="0" w:color="auto"/>
        <w:bottom w:val="none" w:sz="0" w:space="0" w:color="auto"/>
        <w:right w:val="none" w:sz="0" w:space="0" w:color="auto"/>
      </w:divBdr>
    </w:div>
    <w:div w:id="844130230">
      <w:bodyDiv w:val="1"/>
      <w:marLeft w:val="0"/>
      <w:marRight w:val="0"/>
      <w:marTop w:val="0"/>
      <w:marBottom w:val="0"/>
      <w:divBdr>
        <w:top w:val="none" w:sz="0" w:space="0" w:color="auto"/>
        <w:left w:val="none" w:sz="0" w:space="0" w:color="auto"/>
        <w:bottom w:val="none" w:sz="0" w:space="0" w:color="auto"/>
        <w:right w:val="none" w:sz="0" w:space="0" w:color="auto"/>
      </w:divBdr>
    </w:div>
    <w:div w:id="869732101">
      <w:bodyDiv w:val="1"/>
      <w:marLeft w:val="0"/>
      <w:marRight w:val="0"/>
      <w:marTop w:val="0"/>
      <w:marBottom w:val="0"/>
      <w:divBdr>
        <w:top w:val="none" w:sz="0" w:space="0" w:color="auto"/>
        <w:left w:val="none" w:sz="0" w:space="0" w:color="auto"/>
        <w:bottom w:val="none" w:sz="0" w:space="0" w:color="auto"/>
        <w:right w:val="none" w:sz="0" w:space="0" w:color="auto"/>
      </w:divBdr>
    </w:div>
    <w:div w:id="917177106">
      <w:bodyDiv w:val="1"/>
      <w:marLeft w:val="0"/>
      <w:marRight w:val="0"/>
      <w:marTop w:val="0"/>
      <w:marBottom w:val="0"/>
      <w:divBdr>
        <w:top w:val="none" w:sz="0" w:space="0" w:color="auto"/>
        <w:left w:val="none" w:sz="0" w:space="0" w:color="auto"/>
        <w:bottom w:val="none" w:sz="0" w:space="0" w:color="auto"/>
        <w:right w:val="none" w:sz="0" w:space="0" w:color="auto"/>
      </w:divBdr>
      <w:divsChild>
        <w:div w:id="1533567001">
          <w:marLeft w:val="0"/>
          <w:marRight w:val="0"/>
          <w:marTop w:val="0"/>
          <w:marBottom w:val="0"/>
          <w:divBdr>
            <w:top w:val="none" w:sz="0" w:space="0" w:color="auto"/>
            <w:left w:val="none" w:sz="0" w:space="0" w:color="auto"/>
            <w:bottom w:val="none" w:sz="0" w:space="0" w:color="auto"/>
            <w:right w:val="none" w:sz="0" w:space="0" w:color="auto"/>
          </w:divBdr>
          <w:divsChild>
            <w:div w:id="1286734183">
              <w:marLeft w:val="0"/>
              <w:marRight w:val="0"/>
              <w:marTop w:val="0"/>
              <w:marBottom w:val="0"/>
              <w:divBdr>
                <w:top w:val="none" w:sz="0" w:space="0" w:color="auto"/>
                <w:left w:val="none" w:sz="0" w:space="0" w:color="auto"/>
                <w:bottom w:val="none" w:sz="0" w:space="0" w:color="auto"/>
                <w:right w:val="none" w:sz="0" w:space="0" w:color="auto"/>
              </w:divBdr>
              <w:divsChild>
                <w:div w:id="295647338">
                  <w:marLeft w:val="0"/>
                  <w:marRight w:val="0"/>
                  <w:marTop w:val="0"/>
                  <w:marBottom w:val="0"/>
                  <w:divBdr>
                    <w:top w:val="none" w:sz="0" w:space="0" w:color="auto"/>
                    <w:left w:val="none" w:sz="0" w:space="0" w:color="auto"/>
                    <w:bottom w:val="none" w:sz="0" w:space="0" w:color="auto"/>
                    <w:right w:val="none" w:sz="0" w:space="0" w:color="auto"/>
                  </w:divBdr>
                  <w:divsChild>
                    <w:div w:id="1883663128">
                      <w:marLeft w:val="0"/>
                      <w:marRight w:val="0"/>
                      <w:marTop w:val="0"/>
                      <w:marBottom w:val="0"/>
                      <w:divBdr>
                        <w:top w:val="none" w:sz="0" w:space="0" w:color="auto"/>
                        <w:left w:val="none" w:sz="0" w:space="0" w:color="auto"/>
                        <w:bottom w:val="none" w:sz="0" w:space="0" w:color="auto"/>
                        <w:right w:val="none" w:sz="0" w:space="0" w:color="auto"/>
                      </w:divBdr>
                      <w:divsChild>
                        <w:div w:id="963193014">
                          <w:marLeft w:val="0"/>
                          <w:marRight w:val="0"/>
                          <w:marTop w:val="0"/>
                          <w:marBottom w:val="0"/>
                          <w:divBdr>
                            <w:top w:val="none" w:sz="0" w:space="0" w:color="auto"/>
                            <w:left w:val="none" w:sz="0" w:space="0" w:color="auto"/>
                            <w:bottom w:val="none" w:sz="0" w:space="0" w:color="auto"/>
                            <w:right w:val="none" w:sz="0" w:space="0" w:color="auto"/>
                          </w:divBdr>
                          <w:divsChild>
                            <w:div w:id="1753040402">
                              <w:marLeft w:val="0"/>
                              <w:marRight w:val="0"/>
                              <w:marTop w:val="0"/>
                              <w:marBottom w:val="0"/>
                              <w:divBdr>
                                <w:top w:val="none" w:sz="0" w:space="0" w:color="auto"/>
                                <w:left w:val="none" w:sz="0" w:space="0" w:color="auto"/>
                                <w:bottom w:val="none" w:sz="0" w:space="0" w:color="auto"/>
                                <w:right w:val="none" w:sz="0" w:space="0" w:color="auto"/>
                              </w:divBdr>
                              <w:divsChild>
                                <w:div w:id="1974867515">
                                  <w:marLeft w:val="0"/>
                                  <w:marRight w:val="0"/>
                                  <w:marTop w:val="0"/>
                                  <w:marBottom w:val="0"/>
                                  <w:divBdr>
                                    <w:top w:val="none" w:sz="0" w:space="0" w:color="auto"/>
                                    <w:left w:val="none" w:sz="0" w:space="0" w:color="auto"/>
                                    <w:bottom w:val="none" w:sz="0" w:space="0" w:color="auto"/>
                                    <w:right w:val="none" w:sz="0" w:space="0" w:color="auto"/>
                                  </w:divBdr>
                                  <w:divsChild>
                                    <w:div w:id="1365524127">
                                      <w:marLeft w:val="0"/>
                                      <w:marRight w:val="0"/>
                                      <w:marTop w:val="0"/>
                                      <w:marBottom w:val="0"/>
                                      <w:divBdr>
                                        <w:top w:val="none" w:sz="0" w:space="0" w:color="auto"/>
                                        <w:left w:val="none" w:sz="0" w:space="0" w:color="auto"/>
                                        <w:bottom w:val="none" w:sz="0" w:space="0" w:color="auto"/>
                                        <w:right w:val="none" w:sz="0" w:space="0" w:color="auto"/>
                                      </w:divBdr>
                                      <w:divsChild>
                                        <w:div w:id="611935047">
                                          <w:marLeft w:val="0"/>
                                          <w:marRight w:val="0"/>
                                          <w:marTop w:val="0"/>
                                          <w:marBottom w:val="0"/>
                                          <w:divBdr>
                                            <w:top w:val="none" w:sz="0" w:space="0" w:color="auto"/>
                                            <w:left w:val="none" w:sz="0" w:space="0" w:color="auto"/>
                                            <w:bottom w:val="none" w:sz="0" w:space="0" w:color="auto"/>
                                            <w:right w:val="none" w:sz="0" w:space="0" w:color="auto"/>
                                          </w:divBdr>
                                          <w:divsChild>
                                            <w:div w:id="2095390473">
                                              <w:marLeft w:val="330"/>
                                              <w:marRight w:val="225"/>
                                              <w:marTop w:val="300"/>
                                              <w:marBottom w:val="450"/>
                                              <w:divBdr>
                                                <w:top w:val="none" w:sz="0" w:space="0" w:color="auto"/>
                                                <w:left w:val="none" w:sz="0" w:space="0" w:color="auto"/>
                                                <w:bottom w:val="none" w:sz="0" w:space="0" w:color="auto"/>
                                                <w:right w:val="none" w:sz="0" w:space="0" w:color="auto"/>
                                              </w:divBdr>
                                              <w:divsChild>
                                                <w:div w:id="444616880">
                                                  <w:marLeft w:val="0"/>
                                                  <w:marRight w:val="0"/>
                                                  <w:marTop w:val="0"/>
                                                  <w:marBottom w:val="0"/>
                                                  <w:divBdr>
                                                    <w:top w:val="none" w:sz="0" w:space="0" w:color="auto"/>
                                                    <w:left w:val="none" w:sz="0" w:space="0" w:color="auto"/>
                                                    <w:bottom w:val="none" w:sz="0" w:space="0" w:color="auto"/>
                                                    <w:right w:val="none" w:sz="0" w:space="0" w:color="auto"/>
                                                  </w:divBdr>
                                                  <w:divsChild>
                                                    <w:div w:id="746343430">
                                                      <w:marLeft w:val="0"/>
                                                      <w:marRight w:val="0"/>
                                                      <w:marTop w:val="0"/>
                                                      <w:marBottom w:val="0"/>
                                                      <w:divBdr>
                                                        <w:top w:val="none" w:sz="0" w:space="0" w:color="auto"/>
                                                        <w:left w:val="none" w:sz="0" w:space="0" w:color="auto"/>
                                                        <w:bottom w:val="none" w:sz="0" w:space="0" w:color="auto"/>
                                                        <w:right w:val="none" w:sz="0" w:space="0" w:color="auto"/>
                                                      </w:divBdr>
                                                      <w:divsChild>
                                                        <w:div w:id="1976712431">
                                                          <w:marLeft w:val="0"/>
                                                          <w:marRight w:val="0"/>
                                                          <w:marTop w:val="0"/>
                                                          <w:marBottom w:val="0"/>
                                                          <w:divBdr>
                                                            <w:top w:val="none" w:sz="0" w:space="0" w:color="auto"/>
                                                            <w:left w:val="none" w:sz="0" w:space="0" w:color="auto"/>
                                                            <w:bottom w:val="none" w:sz="0" w:space="0" w:color="auto"/>
                                                            <w:right w:val="none" w:sz="0" w:space="0" w:color="auto"/>
                                                          </w:divBdr>
                                                          <w:divsChild>
                                                            <w:div w:id="1204901987">
                                                              <w:marLeft w:val="0"/>
                                                              <w:marRight w:val="0"/>
                                                              <w:marTop w:val="0"/>
                                                              <w:marBottom w:val="0"/>
                                                              <w:divBdr>
                                                                <w:top w:val="none" w:sz="0" w:space="0" w:color="auto"/>
                                                                <w:left w:val="none" w:sz="0" w:space="0" w:color="auto"/>
                                                                <w:bottom w:val="none" w:sz="0" w:space="0" w:color="auto"/>
                                                                <w:right w:val="none" w:sz="0" w:space="0" w:color="auto"/>
                                                              </w:divBdr>
                                                            </w:div>
                                                            <w:div w:id="1597058638">
                                                              <w:marLeft w:val="0"/>
                                                              <w:marRight w:val="0"/>
                                                              <w:marTop w:val="0"/>
                                                              <w:marBottom w:val="0"/>
                                                              <w:divBdr>
                                                                <w:top w:val="none" w:sz="0" w:space="0" w:color="auto"/>
                                                                <w:left w:val="none" w:sz="0" w:space="0" w:color="auto"/>
                                                                <w:bottom w:val="none" w:sz="0" w:space="0" w:color="auto"/>
                                                                <w:right w:val="none" w:sz="0" w:space="0" w:color="auto"/>
                                                              </w:divBdr>
                                                            </w:div>
                                                            <w:div w:id="1898004680">
                                                              <w:marLeft w:val="0"/>
                                                              <w:marRight w:val="0"/>
                                                              <w:marTop w:val="0"/>
                                                              <w:marBottom w:val="0"/>
                                                              <w:divBdr>
                                                                <w:top w:val="none" w:sz="0" w:space="0" w:color="auto"/>
                                                                <w:left w:val="none" w:sz="0" w:space="0" w:color="auto"/>
                                                                <w:bottom w:val="none" w:sz="0" w:space="0" w:color="auto"/>
                                                                <w:right w:val="none" w:sz="0" w:space="0" w:color="auto"/>
                                                              </w:divBdr>
                                                            </w:div>
                                                            <w:div w:id="1299648149">
                                                              <w:marLeft w:val="0"/>
                                                              <w:marRight w:val="0"/>
                                                              <w:marTop w:val="0"/>
                                                              <w:marBottom w:val="0"/>
                                                              <w:divBdr>
                                                                <w:top w:val="none" w:sz="0" w:space="0" w:color="auto"/>
                                                                <w:left w:val="none" w:sz="0" w:space="0" w:color="auto"/>
                                                                <w:bottom w:val="none" w:sz="0" w:space="0" w:color="auto"/>
                                                                <w:right w:val="none" w:sz="0" w:space="0" w:color="auto"/>
                                                              </w:divBdr>
                                                            </w:div>
                                                            <w:div w:id="135298833">
                                                              <w:marLeft w:val="0"/>
                                                              <w:marRight w:val="0"/>
                                                              <w:marTop w:val="0"/>
                                                              <w:marBottom w:val="0"/>
                                                              <w:divBdr>
                                                                <w:top w:val="none" w:sz="0" w:space="0" w:color="auto"/>
                                                                <w:left w:val="none" w:sz="0" w:space="0" w:color="auto"/>
                                                                <w:bottom w:val="none" w:sz="0" w:space="0" w:color="auto"/>
                                                                <w:right w:val="none" w:sz="0" w:space="0" w:color="auto"/>
                                                              </w:divBdr>
                                                            </w:div>
                                                            <w:div w:id="1618102105">
                                                              <w:marLeft w:val="0"/>
                                                              <w:marRight w:val="0"/>
                                                              <w:marTop w:val="0"/>
                                                              <w:marBottom w:val="0"/>
                                                              <w:divBdr>
                                                                <w:top w:val="none" w:sz="0" w:space="0" w:color="auto"/>
                                                                <w:left w:val="none" w:sz="0" w:space="0" w:color="auto"/>
                                                                <w:bottom w:val="none" w:sz="0" w:space="0" w:color="auto"/>
                                                                <w:right w:val="none" w:sz="0" w:space="0" w:color="auto"/>
                                                              </w:divBdr>
                                                            </w:div>
                                                            <w:div w:id="1130515060">
                                                              <w:marLeft w:val="0"/>
                                                              <w:marRight w:val="0"/>
                                                              <w:marTop w:val="0"/>
                                                              <w:marBottom w:val="0"/>
                                                              <w:divBdr>
                                                                <w:top w:val="none" w:sz="0" w:space="0" w:color="auto"/>
                                                                <w:left w:val="none" w:sz="0" w:space="0" w:color="auto"/>
                                                                <w:bottom w:val="none" w:sz="0" w:space="0" w:color="auto"/>
                                                                <w:right w:val="none" w:sz="0" w:space="0" w:color="auto"/>
                                                              </w:divBdr>
                                                            </w:div>
                                                            <w:div w:id="1866364595">
                                                              <w:marLeft w:val="0"/>
                                                              <w:marRight w:val="0"/>
                                                              <w:marTop w:val="0"/>
                                                              <w:marBottom w:val="0"/>
                                                              <w:divBdr>
                                                                <w:top w:val="none" w:sz="0" w:space="0" w:color="auto"/>
                                                                <w:left w:val="none" w:sz="0" w:space="0" w:color="auto"/>
                                                                <w:bottom w:val="none" w:sz="0" w:space="0" w:color="auto"/>
                                                                <w:right w:val="none" w:sz="0" w:space="0" w:color="auto"/>
                                                              </w:divBdr>
                                                            </w:div>
                                                            <w:div w:id="132658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8920135">
      <w:bodyDiv w:val="1"/>
      <w:marLeft w:val="0"/>
      <w:marRight w:val="0"/>
      <w:marTop w:val="0"/>
      <w:marBottom w:val="0"/>
      <w:divBdr>
        <w:top w:val="none" w:sz="0" w:space="0" w:color="auto"/>
        <w:left w:val="none" w:sz="0" w:space="0" w:color="auto"/>
        <w:bottom w:val="none" w:sz="0" w:space="0" w:color="auto"/>
        <w:right w:val="none" w:sz="0" w:space="0" w:color="auto"/>
      </w:divBdr>
    </w:div>
    <w:div w:id="1414737148">
      <w:bodyDiv w:val="1"/>
      <w:marLeft w:val="0"/>
      <w:marRight w:val="0"/>
      <w:marTop w:val="0"/>
      <w:marBottom w:val="0"/>
      <w:divBdr>
        <w:top w:val="none" w:sz="0" w:space="0" w:color="auto"/>
        <w:left w:val="none" w:sz="0" w:space="0" w:color="auto"/>
        <w:bottom w:val="none" w:sz="0" w:space="0" w:color="auto"/>
        <w:right w:val="none" w:sz="0" w:space="0" w:color="auto"/>
      </w:divBdr>
    </w:div>
    <w:div w:id="1510221694">
      <w:bodyDiv w:val="1"/>
      <w:marLeft w:val="0"/>
      <w:marRight w:val="0"/>
      <w:marTop w:val="0"/>
      <w:marBottom w:val="0"/>
      <w:divBdr>
        <w:top w:val="none" w:sz="0" w:space="0" w:color="auto"/>
        <w:left w:val="none" w:sz="0" w:space="0" w:color="auto"/>
        <w:bottom w:val="none" w:sz="0" w:space="0" w:color="auto"/>
        <w:right w:val="none" w:sz="0" w:space="0" w:color="auto"/>
      </w:divBdr>
    </w:div>
    <w:div w:id="1859074600">
      <w:bodyDiv w:val="1"/>
      <w:marLeft w:val="0"/>
      <w:marRight w:val="0"/>
      <w:marTop w:val="0"/>
      <w:marBottom w:val="0"/>
      <w:divBdr>
        <w:top w:val="none" w:sz="0" w:space="0" w:color="auto"/>
        <w:left w:val="none" w:sz="0" w:space="0" w:color="auto"/>
        <w:bottom w:val="none" w:sz="0" w:space="0" w:color="auto"/>
        <w:right w:val="none" w:sz="0" w:space="0" w:color="auto"/>
      </w:divBdr>
    </w:div>
    <w:div w:id="19526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EC3BF-7447-441E-930F-9A59F3F43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2146</Words>
  <Characters>12236</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2017-01-06T11:39:00Z</dcterms:created>
  <dcterms:modified xsi:type="dcterms:W3CDTF">2017-01-06T15:58:00Z</dcterms:modified>
</cp:coreProperties>
</file>